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Civitas Software GmbH zum gemeldeten Vorfall „AntragsLotse Pro"</w:t>
      </w:r>
    </w:p>
    <w:p>
      <w:pPr>
        <w:jc w:val="left"/>
      </w:pPr>
      <w:r>
        <w:rPr>
          <w:b/>
        </w:rPr>
        <w:t>Civitas Software GmbH</w:t>
      </w:r>
    </w:p>
    <w:p>
      <w:pPr>
        <w:jc w:val="left"/>
      </w:pPr>
      <w:r>
        <w:t>Hafenweg 41, 48155 Münster</w:t>
      </w:r>
    </w:p>
    <w:p>
      <w:pPr>
        <w:jc w:val="left"/>
      </w:pPr>
      <w:r>
        <w:t>Telefon: 0251 97744-0 | E-Mail: legal@civitas-software.de</w:t>
      </w:r>
    </w:p>
    <w:p>
      <w:pPr>
        <w:jc w:val="left"/>
      </w:pPr>
      <w:r>
        <w:t>Geschäftsführer: Dr. Falko Petrikat | Amtsgericht Münster, HRB 21447</w:t>
      </w:r>
    </w:p>
    <w:p>
      <w:pPr>
        <w:jc w:val="left"/>
      </w:pPr>
      <w:r>
        <w:t>An die</w:t>
      </w:r>
    </w:p>
    <w:p>
      <w:pPr>
        <w:jc w:val="left"/>
      </w:pPr>
      <w:r>
        <w:t>Stadt Duisburg</w:t>
      </w:r>
    </w:p>
    <w:p>
      <w:pPr>
        <w:jc w:val="left"/>
      </w:pPr>
      <w:r>
        <w:t>Amt für Soziales und Teilhabe</w:t>
      </w:r>
    </w:p>
    <w:p>
      <w:pPr>
        <w:jc w:val="left"/>
      </w:pPr>
      <w:r>
        <w:t>z. Hd. Frau Amtsleiterin Krahnenfeld</w:t>
      </w:r>
    </w:p>
    <w:p>
      <w:pPr>
        <w:jc w:val="left"/>
      </w:pPr>
      <w:r>
        <w:t>Schwanenstraße 5–7</w:t>
      </w:r>
    </w:p>
    <w:p>
      <w:pPr>
        <w:jc w:val="left"/>
      </w:pPr>
      <w:r>
        <w:t>47051 Duisburg</w:t>
      </w:r>
    </w:p>
    <w:p>
      <w:pPr>
        <w:jc w:val="left"/>
      </w:pPr>
      <w:r>
        <w:t>Nachrichtlich: Bundesnetzagentur, Referat Marktüberwachung KI-Systeme, Bonn</w:t>
      </w:r>
    </w:p>
    <w:p>
      <w:pPr>
        <w:jc w:val="left"/>
      </w:pPr>
      <w:r>
        <w:t>Ihr Zeichen: 50-2/AL-2026-014 | Unser Zeichen: CS-L-2026-0341</w:t>
      </w:r>
    </w:p>
    <w:p>
      <w:pPr>
        <w:jc w:val="left"/>
      </w:pPr>
      <w:r>
        <w:t>Münster, 26.06.2026</w:t>
      </w:r>
    </w:p>
    <w:p>
      <w:pPr>
        <w:jc w:val="left"/>
      </w:pPr>
      <w:r>
        <w:rPr>
          <w:b/>
        </w:rPr>
        <w:t>Betreff: Ihre Aufforderung zur Stellungnahme vom 19.06.2026 — behauptete systematische Benachteiligung durch das Regelwerk R-7</w:t>
      </w:r>
    </w:p>
    <w:p>
      <w:pPr>
        <w:jc w:val="left"/>
      </w:pPr>
      <w:r>
        <w:t>Sehr geehrte Frau Krahnenfeld,</w:t>
      </w:r>
    </w:p>
    <w:p>
      <w:pPr>
        <w:jc w:val="left"/>
      </w:pPr>
      <w:r>
        <w:t>wir haben Ihre Meldung vom 19.06.2026 und die beigefügten Unterlagen geprüft und nehmen wie folgt Stellung.</w:t>
      </w:r>
    </w:p>
    <w:p>
      <w:pPr>
        <w:jc w:val="left"/>
      </w:pPr>
      <w:r>
        <w:t>Erstens weisen wir die Annahme zurück, das Produkt „AntragsLotse Pro" sei fehlerhaft. Das im Auslieferungszustand aktive Standardregelwerk S-1 verarbeitet keinerlei herkunftsbezogene Merkmale. Die von Ihnen beschriebenen Effekte können nach unserer technischen Analyse ausschließlich auf dem optionalen Legacy-Regelwerk R-7 beruhen, das Ihre IT-Koordination am 05.01.2026 eigenverantwortlich aktiviert hat. Die Betriebsanleitung (Abschnitt 5.2) knüpft die Aktivierung von R-7 an ein aktives monatliches Fairness-Monitoring, eine gruppenbezogene Wartezeitenauswertung und eine dokumentierte Begründung. Nach Ihren eigenen Feststellungen lag keine dieser drei Voraussetzungen vor. Es handelt sich damit um eine Verwendung entgegen der Betriebsanleitung, die in den Verantwortungsbereich der Betreiberin fällt.</w:t>
      </w:r>
    </w:p>
    <w:p>
      <w:pPr>
        <w:jc w:val="left"/>
      </w:pPr>
      <w:r>
        <w:t>Zweitens stellen wir klar, dass unsere vertragliche Zusicherung „diskriminierungsfreier Kalibrierung" (Ziffer 7.3) sich auf das Standardregelwerk S-1 bezieht. Für R-7 haben wir die Risiken in der Betriebsanleitung offengelegt und gerade deshalb die genannten Aktivierungsbedingungen formuliert. Der Umstand, dass R-7 den Ausstellungsstaat von Urkunden und den Geburtsort verarbeitet, war für Ihre Fachverwaltung aus der Dokumentation erkennbar und wurde in der Einführungsschulung am 15.12.2025 ausdrücklich behandelt.</w:t>
      </w:r>
    </w:p>
    <w:p>
      <w:pPr>
        <w:jc w:val="left"/>
      </w:pPr>
      <w:r>
        <w:t>Drittens geben wir zu bedenken, dass Ihre Grundrechte-Folgenabschätzung vom 18.12.2025 die Aktivierung von R-7 als „umfasst" bezeichnet, das Diskriminierungsrisiko gleichwohl mit „gering" bewertet und auf ein laufendes gruppenbezogenes Monitoring verzichtet hat. Diese Bewertung stammt nicht von uns und wurde uns vor Inbetriebnahme auch nicht zur Konsistenzprüfung vorgelegt, obwohl wir dies in unserem Einführungsleitfaden empfehlen.</w:t>
      </w:r>
    </w:p>
    <w:p>
      <w:pPr>
        <w:jc w:val="left"/>
      </w:pPr>
      <w:r>
        <w:t>Viertens sichern wir Ihnen und der Marktüberwachungsbehörde ungeachtet der Verantwortungsfrage unsere volle Kooperation zu. Wir haben eine eigene Untersuchung eingeleitet und prüfen, ob R-7 in Version 4.0 vollständig entfernt oder mit technisch erzwungenem Monitoring versehen wird; über das Ergebnis unterrichten wir Sie bis zum 31.07.2026. Ferner stellen wir Ihnen kostenfrei einen Auswertungsdienst zur Verfügung, mit dem die gruppenbezogenen Wartezeiten aus dem Priorisierungslog berechnet werden können.</w:t>
      </w:r>
    </w:p>
    <w:p>
      <w:pPr>
        <w:jc w:val="left"/>
      </w:pPr>
      <w:r>
        <w:t>Rein vorsorglich weisen wir darauf hin, dass wir Ansprüche wegen der bei Ihnen eingetretenen Verzögerungen dem Grunde nach zurückweisen und uns sämtliche Rechte vorbehalten. Ob im Übrigen eine Meldepflicht der Betreiberin oder eine Mitwirkungspflicht des Anbieters nach der Verordnung (EU) 2024/1689 in der zum Vorfallszeitpunkt geltenden Fassung bestand, bedarf der Klärung [Normstand zu verifizieren]; unsere Kooperationszusage besteht unabhängig davon.</w:t>
      </w:r>
    </w:p>
    <w:p>
      <w:pPr>
        <w:jc w:val="left"/>
      </w:pPr>
      <w:r>
        <w:t>Mit freundlichen Grüßen</w:t>
      </w:r>
    </w:p>
    <w:p>
      <w:pPr>
        <w:jc w:val="left"/>
      </w:pPr>
      <w:r>
        <w:t>Dr. Falko Petrikat</w:t>
      </w:r>
    </w:p>
    <w:p>
      <w:pPr>
        <w:jc w:val="left"/>
      </w:pPr>
      <w:r>
        <w:t>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Civitas Software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Civitas Software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