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Antrag auf Erlass einer einstweiligen Verfügung</w:t>
      </w:r>
    </w:p>
    <w:p>
      <w:pPr>
        <w:jc w:val="left"/>
      </w:pPr>
      <w:r>
        <w:rPr>
          <w:b/>
        </w:rPr>
        <w:t>Stollberg &amp; Wentzien Rechtsanwältinnen PartG mbB</w:t>
      </w:r>
    </w:p>
    <w:p>
      <w:pPr>
        <w:jc w:val="left"/>
      </w:pPr>
      <w:r>
        <w:t>Fasanenstraße 62, 10719 Berlin</w:t>
      </w:r>
    </w:p>
    <w:p>
      <w:pPr>
        <w:jc w:val="left"/>
      </w:pPr>
      <w:r>
        <w:t>Telefon: 030 887099-0 | E-Mail: kanzlei@stollberg-wentzien.de</w:t>
      </w:r>
    </w:p>
    <w:p>
      <w:pPr>
        <w:jc w:val="left"/>
      </w:pPr>
      <w:r>
        <w:t>An das</w:t>
      </w:r>
    </w:p>
    <w:p>
      <w:pPr>
        <w:jc w:val="left"/>
      </w:pPr>
      <w:r>
        <w:t>Landgericht Berlin II</w:t>
      </w:r>
    </w:p>
    <w:p>
      <w:pPr>
        <w:jc w:val="left"/>
      </w:pPr>
      <w:r>
        <w:t>— Zivilkammer / Pressekammer —</w:t>
      </w:r>
    </w:p>
    <w:p>
      <w:pPr>
        <w:jc w:val="left"/>
      </w:pPr>
      <w:r>
        <w:t>Tegeler Weg 17–21</w:t>
      </w:r>
    </w:p>
    <w:p>
      <w:pPr>
        <w:jc w:val="left"/>
      </w:pPr>
      <w:r>
        <w:t>10589 Berlin</w:t>
      </w:r>
    </w:p>
    <w:p>
      <w:pPr>
        <w:jc w:val="left"/>
      </w:pPr>
      <w:r>
        <w:t>Unser Zeichen: 114/26 St</w:t>
      </w:r>
    </w:p>
    <w:p>
      <w:pPr>
        <w:jc w:val="left"/>
      </w:pPr>
      <w:r>
        <w:t>Berlin, 15.06.2026</w:t>
      </w:r>
    </w:p>
    <w:p>
      <w:pPr>
        <w:jc w:val="left"/>
      </w:pPr>
      <w:r>
        <w:rPr>
          <w:i/>
        </w:rPr>
        <w:t>Exporthinweis: Endausgabe in Times New Roman, 11 pt, dezimale Gliederung.</w:t>
      </w:r>
    </w:p>
    <w:p>
      <w:pPr>
        <w:jc w:val="left"/>
      </w:pPr>
      <w:r>
        <w:rPr>
          <w:b/>
        </w:rPr>
        <w:t>In dem einstweiligen Verfügungsverfahren</w:t>
      </w:r>
    </w:p>
    <w:p>
      <w:pPr>
        <w:jc w:val="left"/>
      </w:pPr>
      <w:r>
        <w:t>des Herrn Dr. Steffen Rahnsdorf, Uferpromenade 3, 14913 Havelbrück — Antragstellers — Verfahrensbevollmächtigte: Stollberg &amp; Wentzien Rechtsanwältinnen PartG mbB, Berlin,</w:t>
      </w:r>
    </w:p>
    <w:p>
      <w:pPr>
        <w:jc w:val="left"/>
      </w:pPr>
      <w:r>
        <w:t>gegen</w:t>
      </w:r>
    </w:p>
    <w:p>
      <w:pPr>
        <w:pStyle w:val="ListNumber"/>
      </w:pPr>
      <w:r>
        <w:t>den Bürgerforum Stadtwende e. V., vertreten durch die Vorsitzende Corinna Lautenschläger, Mühlentorstraße 9, 14913 Havelbrück — Antragsgegner zu 1 —,</w:t>
      </w:r>
    </w:p>
    <w:p>
      <w:pPr>
        <w:pStyle w:val="ListNumber"/>
      </w:pPr>
      <w:r>
        <w:t>die Spreekontor Kommunikation GmbH, vertreten durch den Geschäftsführer Milan Drewitz, Köpenicker Straße 48, 10179 Berlin — Antragsgegnerin zu 2 —,</w:t>
      </w:r>
    </w:p>
    <w:p>
      <w:pPr>
        <w:jc w:val="left"/>
      </w:pPr>
      <w:r>
        <w:t>wegen Verletzung des allgemeinen Persönlichkeitsrechts, beantragen wir wegen Dringlichkeit ohne mündliche Verhandlung zu entscheiden und im Wege der einstweiligen Verfügung anzuordnen:</w:t>
      </w:r>
    </w:p>
    <w:p>
      <w:pPr>
        <w:pStyle w:val="Heading2"/>
      </w:pPr>
      <w:r>
        <w:rPr>
          <w:rFonts w:ascii="Times New Roman" w:hAnsi="Times New Roman"/>
        </w:rPr>
        <w:t>1 Anträge</w:t>
      </w:r>
    </w:p>
    <w:p>
      <w:pPr>
        <w:pStyle w:val="Heading3"/>
      </w:pPr>
      <w:r>
        <w:rPr>
          <w:rFonts w:ascii="Times New Roman" w:hAnsi="Times New Roman"/>
        </w:rPr>
        <w:t>1.1</w:t>
      </w:r>
    </w:p>
    <w:p>
      <w:pPr>
        <w:jc w:val="left"/>
      </w:pPr>
      <w:r>
        <w:t>Den Antragsgegnern wird bei Meidung eines vom Gericht für jeden Fall der Zuwiderhandlung festzusetzenden Ordnungsgeldes bis zu 250.000,00 EUR, ersatzweise Ordnungshaft, oder Ordnungshaft bis zu sechs Monaten, zu vollziehen an der Vorsitzenden bzw. dem Geschäftsführer, untersagt, die künstlich erzeugten Videodateien „hb_kandidat_baustelle_v2" und „hb_kandidat_rathausrede_v1" oder kerngleiche fotorealistische, künstlich erzeugte oder manipulierte Bild-, Video- oder Tondarstellungen des Antragstellers öffentlich zugänglich zu machen, zu verbreiten oder verbreiten zu lassen, insbesondere wenn diese den Eindruck erwecken, der Antragsteller habe die dargestellten Handlungen vorgenommen oder die wiedergegebenen Äußerungen getätigt.</w:t>
      </w:r>
    </w:p>
    <w:p>
      <w:pPr>
        <w:pStyle w:val="Heading3"/>
      </w:pPr>
      <w:r>
        <w:rPr>
          <w:rFonts w:ascii="Times New Roman" w:hAnsi="Times New Roman"/>
        </w:rPr>
        <w:t>1.2</w:t>
      </w:r>
    </w:p>
    <w:p>
      <w:pPr>
        <w:jc w:val="left"/>
      </w:pPr>
      <w:r>
        <w:t>Den Antragsgegnern wird aufgegeben, die unter 1.1 bezeichneten Videos von sämtlichen von ihnen kontrollierten Konten, Kanälen und Speicherorten zu entfernen und deren erneutes Hochladen durch von ihnen beauftragte Personen zu unterbinden.</w:t>
      </w:r>
    </w:p>
    <w:p>
      <w:pPr>
        <w:pStyle w:val="Heading3"/>
      </w:pPr>
      <w:r>
        <w:rPr>
          <w:rFonts w:ascii="Times New Roman" w:hAnsi="Times New Roman"/>
        </w:rPr>
        <w:t>1.3</w:t>
      </w:r>
    </w:p>
    <w:p>
      <w:pPr>
        <w:jc w:val="left"/>
      </w:pPr>
      <w:r>
        <w:t>Die Antragsgegner tragen die Kosten des Verfahrens.</w:t>
      </w:r>
    </w:p>
    <w:p>
      <w:pPr>
        <w:pStyle w:val="Heading2"/>
      </w:pPr>
      <w:r>
        <w:rPr>
          <w:rFonts w:ascii="Times New Roman" w:hAnsi="Times New Roman"/>
        </w:rPr>
        <w:t>2 Sachverhalt</w:t>
      </w:r>
    </w:p>
    <w:p>
      <w:pPr>
        <w:pStyle w:val="Heading3"/>
      </w:pPr>
      <w:r>
        <w:rPr>
          <w:rFonts w:ascii="Times New Roman" w:hAnsi="Times New Roman"/>
        </w:rPr>
        <w:t>2.1 Beteiligte und Veröffentlichungen</w:t>
      </w:r>
    </w:p>
    <w:p>
      <w:pPr>
        <w:jc w:val="left"/>
      </w:pPr>
      <w:r>
        <w:t>Der Antragsteller kandidiert bei der Wahl zum Oberbürgermeister der Stadt Havelbrück am 13.09.2026. Der Antragsgegner zu 1 betreibt die gegen den Antragsteller gerichtete Kampagne „Stadtwende"; die Antragsgegnerin zu 2 ist die von ihm beauftragte Kommunikationsagentur. Am 05.06.2026, 18:40 Uhr, wurde über das Klipstream-Konto „@stadtwende_hb" des Antragsgegners zu 1 das Video „hb_kandidat_baustelle_v2" veröffentlicht, am 07.06.2026, 16:05 Uhr, das Video „hb_kandidat_rathausrede_v1"; Parallelveröffentlichungen erfolgten auf EchoFeed. Beide Videos zeigen fotorealistisch eine Person, die vom Betrachter zwingend als der Antragsteller wahrgenommen wird. Das zweite Video legt ihm die wörtliche Äußerung „Wer hier geboren ist, hat bei mir Vorrang, das sage ich nur hinter verschlossenen Türen" in den Mund.</w:t>
      </w:r>
    </w:p>
    <w:p>
      <w:pPr>
        <w:pStyle w:val="Heading3"/>
      </w:pPr>
      <w:r>
        <w:rPr>
          <w:rFonts w:ascii="Times New Roman" w:hAnsi="Times New Roman"/>
        </w:rPr>
        <w:t>2.2 Künstliche Erzeugung und fehlende Kennzeichnung</w:t>
      </w:r>
    </w:p>
    <w:p>
      <w:pPr>
        <w:jc w:val="left"/>
      </w:pPr>
      <w:r>
        <w:t>Beide Videos sind vollständig künstlich erzeugt. Dies ergibt sich aus dem forensischen Kurzbericht der Datenrettung Falkenauge GmbH vom 12.06.2026 (Anlage AS 4) und wird durch die eigene Einlassung der Antragsgegnerin zu 2 im Antwortschreiben vom 13.06.2026 (Anlage AS 6) nicht mehr bestritten. In den ersten Tagen der Verbreitung fehlte jede Kennzeichnung als künstlich erzeugter Inhalt; erst am 09.06.2026 ab 10:15 Uhr wurde den Beschreibungstexten der Zusatz „Satire." angefügt. Der Zustand der Veröffentlichungen ist durch anwaltlichen Dokumentationsvermerk vom 08.06.2026 nebst Ergänzung (Anlage AS 3) gesichert. Zur Reichweite bis zur Entfernung durch die Plattformen wird auf die Timeline-Aufstellung (Anlage AS 5) verwiesen.</w:t>
      </w:r>
    </w:p>
    <w:p>
      <w:pPr>
        <w:pStyle w:val="Heading3"/>
      </w:pPr>
      <w:r>
        <w:rPr>
          <w:rFonts w:ascii="Times New Roman" w:hAnsi="Times New Roman"/>
        </w:rPr>
        <w:t>2.3 Keine Äußerung des Antragstellers</w:t>
      </w:r>
    </w:p>
    <w:p>
      <w:pPr>
        <w:jc w:val="left"/>
      </w:pPr>
      <w:r>
        <w:t>Der Antragsteller hat die dargestellten Szenen nie erlebt und die ihm zugeschriebenen Äußerungen nie getätigt. Dies versichert er eidesstattlich (Anlage AS 1).</w:t>
      </w:r>
    </w:p>
    <w:p>
      <w:pPr>
        <w:pStyle w:val="Heading3"/>
      </w:pPr>
      <w:r>
        <w:rPr>
          <w:rFonts w:ascii="Times New Roman" w:hAnsi="Times New Roman"/>
        </w:rPr>
        <w:t>2.4 Abmahnung</w:t>
      </w:r>
    </w:p>
    <w:p>
      <w:pPr>
        <w:jc w:val="left"/>
      </w:pPr>
      <w:r>
        <w:t>Die Abmahnung vom 10.06.2026 blieb erfolglos. Der Antragsgegner zu 1 reagierte nicht. Die Antragsgegnerin zu 2 verweigerte mit Schreiben vom 13.06.2026 die Unterlassungserklärung unter Berufung darauf, die Videos seien „von Anfang an als Satire klar erkennbar gekennzeichnet" gewesen.</w:t>
      </w:r>
    </w:p>
    <w:p>
      <w:pPr>
        <w:pStyle w:val="Heading2"/>
      </w:pPr>
      <w:r>
        <w:rPr>
          <w:rFonts w:ascii="Times New Roman" w:hAnsi="Times New Roman"/>
        </w:rPr>
        <w:t>3 Rechtliche Würdigung</w:t>
      </w:r>
    </w:p>
    <w:p>
      <w:pPr>
        <w:pStyle w:val="Heading3"/>
      </w:pPr>
      <w:r>
        <w:rPr>
          <w:rFonts w:ascii="Times New Roman" w:hAnsi="Times New Roman"/>
        </w:rPr>
        <w:t>3.1 Verfügungsanspruch</w:t>
      </w:r>
    </w:p>
    <w:p>
      <w:pPr>
        <w:jc w:val="left"/>
      </w:pPr>
      <w:r>
        <w:t>Der Anspruch folgt aus §§ 823 Abs. 1, 1004 Abs. 1 Satz 2 BGB analog in Verbindung mit Art. 2 Abs. 1, Art. 1 Abs. 1 GG sowie §§ 22, 23 KUG. Das Unterschieben nie getätigter Äußerungen mittels fotorealistischer Klon-Darstellung verletzt den absolut geschützten Kern des Persönlichkeitsrechts; auf die Abwägung mit der Meinungs- und Kunstfreiheit kommt es bei bewusst unwahren Tatsachenanmutungen nicht an. Eine Satire-Ausnahme scheidet aus, weil die Darstellung im Zeitpunkt der Wahrnehmung nicht als Satire erkennbar war: Die Videos verwenden Nachrichten- und Versteckte-Kamera-Ästhetik, enthielten keinerlei Kennzeichnung und wurden ausweislich der gesicherten Kommentarverläufe von den Betrachtern als echt verstanden. Der nachgeschobene Beschreibungszusatz ändert die Täuschungseignung des Videobildes nicht. Die Antragsgegnerin zu 2 haftet als Herstellerin und unmittelbare Veranlasserin der Veröffentlichung, der Antragsgegner zu 1 als Kontoinhaber und Auftraggeber. Auf die unionsrechtlichen Kennzeichnungspflichten für Deepfakes wird ergänzend hingewiesen, ohne dass der Anspruch hierauf gestützt wird [Normstand zu verifizieren].</w:t>
      </w:r>
    </w:p>
    <w:p>
      <w:pPr>
        <w:pStyle w:val="Heading3"/>
      </w:pPr>
      <w:r>
        <w:rPr>
          <w:rFonts w:ascii="Times New Roman" w:hAnsi="Times New Roman"/>
        </w:rPr>
        <w:t>3.2 Verfügungsgrund</w:t>
      </w:r>
    </w:p>
    <w:p>
      <w:pPr>
        <w:jc w:val="left"/>
      </w:pPr>
      <w:r>
        <w:t>Die Dringlichkeit folgt aus der laufenden Wahlauseinandersetzung (Wahltermin 13.09.2026), der erheblichen bereits eingetretenen Reichweite und der Wiederholungsgefahr, die durch die Verweigerung der Unterlassungserklärung indiziert ist. Der Antragsteller hat von den Videos am 06.06.2026 Kenntnis erlangt und binnen neun Tagen den Antrag angebracht.</w:t>
      </w:r>
    </w:p>
    <w:p>
      <w:pPr>
        <w:pStyle w:val="Heading2"/>
      </w:pPr>
      <w:r>
        <w:rPr>
          <w:rFonts w:ascii="Times New Roman" w:hAnsi="Times New Roman"/>
        </w:rPr>
        <w:t>4 Glaubhaftmachung</w:t>
      </w:r>
    </w:p>
    <w:p>
      <w:pPr>
        <w:jc w:val="left"/>
      </w:pPr>
      <w:r>
        <w:t>Zur Glaubhaftmachung beziehen wir uns auf: eidesstattliche Versicherung des Antragstellers vom 14.06.2026 (Anlage AS 1); Screenshots und Dokumentationsvermerk vom 08.06./09.06.2026 (Anlagen AS 2, AS 3); forensischer Kurzbericht vom 12.06.2026 (Anlage AS 4); Timeline-Aufstellung der Veröffentlichungen (Anlage AS 5); Antwortschreiben der Antragsgegnerin zu 2 vom 13.06.2026 (Anlage AS 6); Abmahnung vom 10.06.2026 (Anlage AS 7).</w:t>
      </w:r>
    </w:p>
    <w:p>
      <w:pPr>
        <w:jc w:val="left"/>
      </w:pPr>
      <w:r>
        <w:t>Dr. Friederike Stollberg</w:t>
      </w:r>
    </w:p>
    <w:p>
      <w:pPr>
        <w:jc w:val="left"/>
      </w:pPr>
      <w:r>
        <w:t>Rechtsanwältin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Stollberg &amp; Wentzien Rechtsanwältinnen PartG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STOLLBERG &amp; WENTZIEN RECHTSANWÄLTINNEN PARTG MBB</w:t>
    </w:r>
  </w:p>
  <w:p>
    <w:pPr>
      <w:jc w:val="left"/>
      <w:pBdr>
        <w:bottom w:val="single" w:sz="8" w:space="2" w:color="7B2D3B"/>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