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Schutzschrift der Spreekontor Kommunikation GmbH</w:t>
      </w:r>
    </w:p>
    <w:p>
      <w:pPr>
        <w:jc w:val="left"/>
      </w:pPr>
      <w:r>
        <w:rPr>
          <w:b/>
        </w:rPr>
        <w:t>Rechtsanwälte Grellmann &amp; Osietzki PartG mbB</w:t>
      </w:r>
    </w:p>
    <w:p>
      <w:pPr>
        <w:jc w:val="left"/>
      </w:pPr>
      <w:r>
        <w:t>Schlüterstraße 41, 10707 Berlin</w:t>
      </w:r>
    </w:p>
    <w:p>
      <w:pPr>
        <w:jc w:val="left"/>
      </w:pPr>
      <w:r>
        <w:t>Telefon: 030 3271145-0 | E-Mail: office@grellmann-osietzki.de</w:t>
      </w:r>
    </w:p>
    <w:p>
      <w:pPr>
        <w:jc w:val="left"/>
      </w:pPr>
      <w:r>
        <w:t>Eingereicht zum Zentralen Schutzschriftenregister (§ 945a ZPO)</w:t>
      </w:r>
    </w:p>
    <w:p>
      <w:pPr>
        <w:jc w:val="left"/>
      </w:pPr>
      <w:r>
        <w:t>Unser Zeichen: 442/26 GO</w:t>
      </w:r>
    </w:p>
    <w:p>
      <w:pPr>
        <w:jc w:val="left"/>
      </w:pPr>
      <w:r>
        <w:t>Berlin, 16.06.2026</w:t>
      </w:r>
    </w:p>
    <w:p>
      <w:pPr>
        <w:jc w:val="left"/>
      </w:pPr>
      <w:r>
        <w:rPr>
          <w:i/>
        </w:rPr>
        <w:t>Exporthinweis: Endausgabe in Times New Roman, 11 pt, dezimale Gliederung.</w:t>
      </w:r>
    </w:p>
    <w:p>
      <w:pPr>
        <w:jc w:val="left"/>
      </w:pPr>
      <w:r>
        <w:rPr>
          <w:b/>
        </w:rPr>
        <w:t>Schutzschrift</w:t>
      </w:r>
      <w:r>
        <w:t xml:space="preserve"> für die Spreekontor Kommunikation GmbH, vertreten durch den Geschäftsführer Milan Drewitz, Köpenicker Straße 48, 10179 Berlin — Antragsgegnerin —, gegen einen erwarteten Antrag des Herrn Dr. Steffen Rahnsdorf, Havelbrück — Antragsteller —, auf Erlass einer einstweiligen Verfügung wegen zweier Kampagnenvideos.</w:t>
      </w:r>
    </w:p>
    <w:p>
      <w:pPr>
        <w:pStyle w:val="Heading2"/>
      </w:pPr>
      <w:r>
        <w:rPr>
          <w:rFonts w:ascii="Times New Roman" w:hAnsi="Times New Roman"/>
        </w:rPr>
        <w:t>1 Anträge</w:t>
      </w:r>
    </w:p>
    <w:p>
      <w:pPr>
        <w:jc w:val="left"/>
      </w:pPr>
      <w:r>
        <w:t>Es wird beantragt, einen etwaigen Antrag auf Erlass einer einstweiligen Verfügung zurückzuweisen, hilfsweise nicht ohne mündliche Verhandlung zu entscheiden, weiter hilfsweise der Antragsgegnerin vor einer Entscheidung Gelegenheit zur Stellungnahme zu geben.</w:t>
      </w:r>
    </w:p>
    <w:p>
      <w:pPr>
        <w:pStyle w:val="Heading2"/>
      </w:pPr>
      <w:r>
        <w:rPr>
          <w:rFonts w:ascii="Times New Roman" w:hAnsi="Times New Roman"/>
        </w:rPr>
        <w:t>2 Sachverhalt aus Sicht der Antragsgegnerin</w:t>
      </w:r>
    </w:p>
    <w:p>
      <w:pPr>
        <w:jc w:val="left"/>
      </w:pPr>
      <w:r>
        <w:t>Die Antragsgegnerin hat im Auftrag des Bürgerforum Stadtwende e. V. zwei satirische Kampagnenvideos zur Oberbürgermeisterwahl in Havelbrück produziert. Die Videos sind mit einem professionellen KI-Videowerkzeug erstellt; das ist zwischen den Beteiligten nicht streitig und wird nicht verheimlicht. Beide Videos überzeichnen den öffentlichen Auftritt des Antragstellers zu Themen, die in Havelbrück seit Monaten kontrovers diskutiert werden (Baustellenstillstand am Schwimmbad; Wohnortbevorzugung bei städtischen Vergaben). Es handelt sich um politische Meinungsäußerung in der zugespitzten Form der Satire, die vom Schutz des Art. 5 Abs. 1 und Abs. 3 GG umfasst ist. Der Verkehr einer Wahlkampagne erwartet Zuspitzung; die Videos waren nach dem Gesamteindruck — Kontoname „stadtwende", Kampagnenkontext, bewusst überzeichnete Pointen — als Satire erkennbar und ausweislich der eidesstattlichen Versicherung der Kreativdirektorin der Antragsgegnerin vom 16.06.2026 von Anfang an als Satire klar erkennbar gekennzeichnet. Auf diese eidesstattliche Versicherung (Anlage SS 1) wird Bezug genommen.</w:t>
      </w:r>
    </w:p>
    <w:p>
      <w:pPr>
        <w:pStyle w:val="Heading2"/>
      </w:pPr>
      <w:r>
        <w:rPr>
          <w:rFonts w:ascii="Times New Roman" w:hAnsi="Times New Roman"/>
        </w:rPr>
        <w:t>3 Rechtliche Würdigung</w:t>
      </w:r>
    </w:p>
    <w:p>
      <w:pPr>
        <w:pStyle w:val="Heading3"/>
      </w:pPr>
      <w:r>
        <w:rPr>
          <w:rFonts w:ascii="Times New Roman" w:hAnsi="Times New Roman"/>
        </w:rPr>
        <w:t>3.1 Kein Unterlassungsanspruch</w:t>
      </w:r>
    </w:p>
    <w:p>
      <w:pPr>
        <w:jc w:val="left"/>
      </w:pPr>
      <w:r>
        <w:t>Ein Anspruch aus §§ 823, 1004 BGB analog, §§ 22, 23 KUG besteht nicht. Bei erkennbarer Satire fehlt es an einer dem Antragsteller untergeschobenen ernstlichen Tatsachenbehauptung; der verständige Betrachter einer gegnerischen Wahlkampagne rechnet mit Überzeichnung. Die Abwägung mit der Meinungs- und Kunstfreiheit fällt im politischen Meinungskampf, in dem sich der Antragsteller als Wahlbewerber bewusst der öffentlichen Auseinandersetzung stellt, zu Gunsten der Antragsgegnerin aus. Jedenfalls fehlt es an der Passivlegitimation für das Konto des Vereins: Die Antragsgegnerin hat die Veröffentlichung nicht selbst vorgenommen; Produktion und Publikation sind zu trennen.</w:t>
      </w:r>
    </w:p>
    <w:p>
      <w:pPr>
        <w:pStyle w:val="Heading3"/>
      </w:pPr>
      <w:r>
        <w:rPr>
          <w:rFonts w:ascii="Times New Roman" w:hAnsi="Times New Roman"/>
        </w:rPr>
        <w:t>3.2 Unionsrechtliche Kennzeichnungspflichten ohne zivilrechtliche Anspruchsgrundlage</w:t>
      </w:r>
    </w:p>
    <w:p>
      <w:pPr>
        <w:jc w:val="left"/>
      </w:pPr>
      <w:r>
        <w:t>Soweit der Antragsteller auf Transparenzpflichten für KI-generierte Inhalte nach der Verordnung (EU) 2024/1689 abstellen sollte, verleihen diese dem Einzelnen keinen zivilrechtlichen Unterlassungsanspruch; ihre Durchsetzung obliegt der Marktüberwachung. Ob und ab wann die einschlägigen Transparenzpflichten auf die streitgegenständlichen Veröffentlichungen zeitlich überhaupt anwendbar sind, ist zudem offen und wäre amtlich zu klären [Normstand zu verifizieren]. Auch für die Ausgestaltung einer etwaigen Kennzeichnung besteht kein zivilgerichtlich durchsetzbarer Standard.</w:t>
      </w:r>
    </w:p>
    <w:p>
      <w:pPr>
        <w:pStyle w:val="Heading3"/>
      </w:pPr>
      <w:r>
        <w:rPr>
          <w:rFonts w:ascii="Times New Roman" w:hAnsi="Times New Roman"/>
        </w:rPr>
        <w:t>3.3 Kein Verfügungsgrund</w:t>
      </w:r>
    </w:p>
    <w:p>
      <w:pPr>
        <w:jc w:val="left"/>
      </w:pPr>
      <w:r>
        <w:t>Die Videos sind seit dem 11.06.2026 bzw. 12.06.2026 von den Plattformen entfernt. Eine Erstveröffentlichungs- oder Wiederholungsgefahr, die den Erlass ohne mündliche Verhandlung rechtfertigen könnte, besteht nicht; die Antragsgegnerin hat gegenüber dem Auftraggeber empfohlen, bis zur rechtlichen Klärung keine weiteren Veröffentlichungen vorzunehmen.</w:t>
      </w:r>
    </w:p>
    <w:p>
      <w:pPr>
        <w:pStyle w:val="Heading2"/>
      </w:pPr>
      <w:r>
        <w:rPr>
          <w:rFonts w:ascii="Times New Roman" w:hAnsi="Times New Roman"/>
        </w:rPr>
        <w:t>4 Hilfsweise: Anhörung geboten</w:t>
      </w:r>
    </w:p>
    <w:p>
      <w:pPr>
        <w:jc w:val="left"/>
      </w:pPr>
      <w:r>
        <w:t>Sollte die Kammer den Sachverhalt abweichend bewerten, wäre jedenfalls über die Erkennbarkeit der Satire und die Kennzeichnungslage Beweis zu erheben; die Sachlage ist zwischen den Beteiligten in tatsächlicher Hinsicht streitig (Zeitpunkt und Sichtbarkeit der Kennzeichnung). Eine Entscheidung ohne mündliche Verhandlung verletzte die prozessuale Waffengleichheit.</w:t>
      </w:r>
    </w:p>
    <w:p>
      <w:pPr>
        <w:jc w:val="left"/>
      </w:pPr>
      <w:r>
        <w:t>gez. Grellmann</w:t>
      </w:r>
    </w:p>
    <w:p>
      <w:pPr>
        <w:jc w:val="left"/>
      </w:pPr>
      <w:r>
        <w:t>Rechtsanwalt</w:t>
      </w:r>
    </w:p>
    <w:p>
      <w:pPr>
        <w:jc w:val="left"/>
      </w:pPr>
      <w:r>
        <w:t>Anlage SS 1: Eidesstattliche Versicherung Svenja Odenthal vom 16.06.2026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Spreekontor Kommunikation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Spreekontor Kommunikation GmbH</w:t>
    </w:r>
  </w:p>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