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 der Kampagnenschmiede GmbH auf das Auskunftsersuchen vom 22.06.2026</w:t>
      </w:r>
    </w:p>
    <w:p>
      <w:pPr>
        <w:jc w:val="left"/>
      </w:pPr>
      <w:r>
        <w:rPr>
          <w:b/>
        </w:rPr>
        <w:t>Kampagnenschmiede GmbH</w:t>
      </w:r>
    </w:p>
    <w:p>
      <w:pPr>
        <w:jc w:val="left"/>
      </w:pPr>
      <w:r>
        <w:t>Revaler Straße 30, 10245 Berlin</w:t>
      </w:r>
    </w:p>
    <w:p>
      <w:pPr>
        <w:jc w:val="left"/>
      </w:pPr>
      <w:r>
        <w:t>Telefon: 030 6952214-0 | E-Mail: compliance@kampagnenschmiede.de</w:t>
      </w:r>
    </w:p>
    <w:p>
      <w:pPr>
        <w:jc w:val="left"/>
      </w:pPr>
      <w:r>
        <w:t>Geschäftsführer: Dr. Roman Feuerhake | Amtsgericht Charlottenburg, HRB 244917 B</w:t>
      </w:r>
    </w:p>
    <w:p>
      <w:pPr>
        <w:jc w:val="left"/>
      </w:pPr>
      <w:r>
        <w:t>An die</w:t>
      </w:r>
    </w:p>
    <w:p>
      <w:pPr>
        <w:jc w:val="left"/>
      </w:pPr>
      <w:r>
        <w:t>Bundesnetzagentur</w:t>
      </w:r>
    </w:p>
    <w:p>
      <w:pPr>
        <w:jc w:val="left"/>
      </w:pPr>
      <w:r>
        <w:t>Referat Marktüberwachung KI-Systeme</w:t>
      </w:r>
    </w:p>
    <w:p>
      <w:pPr>
        <w:jc w:val="left"/>
      </w:pPr>
      <w:r>
        <w:t>z. Hd. Herrn ORR Dr. Battenfeld</w:t>
      </w:r>
    </w:p>
    <w:p>
      <w:pPr>
        <w:jc w:val="left"/>
      </w:pPr>
      <w:r>
        <w:t>Tulpenfeld 4</w:t>
      </w:r>
    </w:p>
    <w:p>
      <w:pPr>
        <w:jc w:val="left"/>
      </w:pPr>
      <w:r>
        <w:t>53113 Bonn</w:t>
      </w:r>
    </w:p>
    <w:p>
      <w:pPr>
        <w:jc w:val="left"/>
      </w:pPr>
      <w:r>
        <w:t>Ihr Zeichen: KI-MÜ-2026/0233 | Unser Zeichen: KS-C-2026-052</w:t>
      </w:r>
    </w:p>
    <w:p>
      <w:pPr>
        <w:jc w:val="left"/>
      </w:pPr>
      <w:r>
        <w:t>Berlin, 29.06.2026</w:t>
      </w:r>
    </w:p>
    <w:p>
      <w:pPr>
        <w:jc w:val="left"/>
      </w:pPr>
      <w:r>
        <w:rPr>
          <w:b/>
        </w:rPr>
        <w:t>Betreff: Ihr Auskunfts- und Unterlagenverlangen vom 22.06.2026 — fristgerechte Beantwortung</w:t>
      </w:r>
    </w:p>
    <w:p>
      <w:pPr>
        <w:jc w:val="left"/>
      </w:pPr>
      <w:r>
        <w:t>Sehr geehrter Herr Dr. Battenfeld,</w:t>
      </w:r>
    </w:p>
    <w:p>
      <w:pPr>
        <w:jc w:val="left"/>
      </w:pPr>
      <w:r>
        <w:t>wir beantworten Ihr Ersuchen vollständig und innerhalb der Frist.</w:t>
      </w:r>
    </w:p>
    <w:p>
      <w:pPr>
        <w:jc w:val="left"/>
      </w:pPr>
      <w:r>
        <w:t>Zu Frage 1: Die vollständigen Generierungs- und Export-Protokolle des Kontos ORG-4471 (Spreekontor Kommunikation GmbH) für den Zeitraum 01.05.2026 bis 15.06.2026 legen wir als Systemauszug vor. Hervorzuheben ist, dass unser System bei beiden Exportvorgängen am 02.06.2026 einen Pflichtdialog angezeigt hat, der die Entfernung sämtlicher Herkunftskennzeichnungen benennt und den Übergang der Kennzeichnungspflichten auf die Kundin ausdrücklich feststellt; beide Dialoge wurden durch die Nutzerin bestätigt. Bereits bei der Generierung hat das System Hinweise auf die Darstellung realer Personen und auf Stimmklon-Eingaben ausgegeben.</w:t>
      </w:r>
    </w:p>
    <w:p>
      <w:pPr>
        <w:jc w:val="left"/>
      </w:pPr>
      <w:r>
        <w:t>Zu Frage 2: Das Profil „clean_master" entfernt die C2PA-Signatur, das sichtbare Wasserzeichen und die Generator-EXIF-Einträge. Eine Ersatzkennzeichnung bringt das Profil nicht an. Das Profil wurde 2024 für Bestandskunden aus der Film- und Werbeproduktion eingeführt, deren Postproduktions-Workflows eigene Kennzeichnungsketten vorsehen; die Verantwortung hierfür überträgt Ziffer 11.4 unserer AGB auf den Kunden. Wir räumen ein, dass eine technische Sicherstellung der Ersatzkennzeichnung derzeit nicht erfolgt. Ob uns dies als nachgelagerte Anbieterin zuzurechnen ist, hängt von der genauen Reichweite der Kennzeichnungspflichten in der auf den Vorfallszeitraum anwendbaren Fassung der Verordnung (EU) 2024/1689 ab, die wir ausdrücklich der amtlichen Klärung anheimstellen [Normstand zu verifizieren]. Vorsorglich haben wir reagiert (dazu Frage 5).</w:t>
      </w:r>
    </w:p>
    <w:p>
      <w:pPr>
        <w:jc w:val="left"/>
      </w:pPr>
      <w:r>
        <w:t>Zu Frage 3: Den Integrator-Vertrag mit der Nordlys Model Works ApS (Tier „Studio") legen wir vor. Wir bestätigen, dass Ziffer 3.2 der Nordlys-Nutzungsbedingungen die Entfernung der Kennzeichnungen nur gegen mindestens gleichwertige Ersatzkennzeichnung gestattet und wir uns hierzu vertraglich verpflichtet haben. Die Diskrepanz zwischen dieser Verpflichtung und der tatsächlichen Ausgestaltung des Profils „clean_master" ist Gegenstand einer laufenden Erörterung mit Nordlys; die dortige Rechtsabteilung hat uns mit Schreiben vom 24.06.2026 zur Nachrüstung bis zum 31.08.2026 aufgefordert.</w:t>
      </w:r>
    </w:p>
    <w:p>
      <w:pPr>
        <w:jc w:val="left"/>
      </w:pPr>
      <w:r>
        <w:t>Zu Frage 4: Seit dem 01.01.2026 haben 38 von 412 aktiven Kundenkonten das Profil „clean_master" mindestens einmal genutzt (2.184 Exportvorgänge). Eine systemseitige Erkennung, ob exportierte Inhalte reale Personen darstellen, besteht nur auf Ebene der Generierungshinweise; danach enthielten 214 der 2.184 Exporte Material aus Jobs mit „Real-person likeness"-Hinweis. Eine inhaltliche Prüfung dieser Exporte nehmen wir nicht vor.</w:t>
      </w:r>
    </w:p>
    <w:p>
      <w:pPr>
        <w:jc w:val="left"/>
      </w:pPr>
      <w:r>
        <w:t>Zu Frage 5: Unser Rollenverständnis: Die Nordlys Model Works ApS ist Anbieterin des Modells mit allgemeinem Verwendungszweck; wir betreiben mit „SzenenWerk Studio" ein hierauf aufsetzendes KI-System und sind insoweit Anbieterin dieses Systems; die Spreekontor Kommunikation GmbH ist Betreiberin und hat die Veröffentlichungspflichten verletzt, indem sie die Inhalte ohne jede Offenlegung publizieren ließ. Seit dem 20.06.2026 haben wir umgesetzt: Sperrung des Profils „clean_master" für alle Konten ohne auditierten Kennzeichnungs-Workflow (betrifft auch ORG-4471), verpflichtende sichtbare Kennzeichnung „KI-generiert" bei allen Exporten mit „Real-person likeness"-Hinweis sowie die Aufnahme einer automatischen C2PA-Neusignierung in die Entwicklungsplanung (Zielversion 2.3, drittes Quartal 2026).</w:t>
      </w:r>
    </w:p>
    <w:p>
      <w:pPr>
        <w:jc w:val="left"/>
      </w:pPr>
      <w:r>
        <w:t>Für Rückfragen stehen wir zur Verfügung; um vertrauliche Behandlung der Kundenzahlen aus Frage 4 als Geschäftsgeheimnis wird gebeten.</w:t>
      </w:r>
    </w:p>
    <w:p>
      <w:pPr>
        <w:jc w:val="left"/>
      </w:pPr>
      <w:r>
        <w:t>Mit freundlichen Grüßen</w:t>
      </w:r>
    </w:p>
    <w:p>
      <w:pPr>
        <w:jc w:val="left"/>
      </w:pPr>
      <w:r>
        <w:t>Dr. Roman Feuerhake</w:t>
      </w:r>
    </w:p>
    <w:p>
      <w:pPr>
        <w:jc w:val="left"/>
      </w:pPr>
      <w:r>
        <w:t>Geschäftsführer</w:t>
      </w:r>
    </w:p>
    <w:p>
      <w:pPr>
        <w:jc w:val="left"/>
      </w:pPr>
      <w:r>
        <w:t>Anlagen: Systemauszug ORG-4471; technische Beschreibung „clean_master"; Integrator-Vertrag Nordlys (vertraulich); AGB Stand 01/2026; Maßnahmenübersicht Stand 29.06.2026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Kampagnenschmiede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Kampagnenschmiede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