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Normstand-Vermerk — Rechtsgrundlagen dieser Akte (KI-Verordnung, Transparenzpflichten)</w:t>
      </w:r>
    </w:p>
    <w:p>
      <w:pPr>
        <w:jc w:val="left"/>
      </w:pPr>
      <w:r>
        <w:rPr>
          <w:b/>
        </w:rPr>
        <w:t>Stollberg &amp; Wentzien Rechtsanwältinnen PartG mbB</w:t>
      </w:r>
    </w:p>
    <w:p>
      <w:pPr>
        <w:jc w:val="left"/>
      </w:pPr>
      <w:r>
        <w:t>Fasanenstraße 62, 10719 Berlin</w:t>
      </w:r>
    </w:p>
    <w:p>
      <w:pPr>
        <w:jc w:val="left"/>
      </w:pPr>
      <w:r>
        <w:t>Aktenzeichen: 114/26 St | Verfasserin: RAin Dr. Friederike Stollberg</w:t>
      </w:r>
    </w:p>
    <w:p>
      <w:pPr>
        <w:jc w:val="left"/>
      </w:pPr>
      <w:r>
        <w:t>Datum: 02.07.2026 | Kanzleiintern; der Akte vorzuheften und bei jeder Weiterverwendung zuerst zu lesen</w:t>
      </w:r>
    </w:p>
    <w:p>
      <w:pPr>
        <w:jc w:val="left"/>
      </w:pPr>
      <w:r>
        <w:rPr>
          <w:i/>
        </w:rPr>
        <w:t>Exporthinweis: Endausgabe in Times New Roman, 11 pt, dezimale Gliederung.</w:t>
      </w:r>
    </w:p>
    <w:p>
      <w:pPr>
        <w:pStyle w:val="Heading2"/>
      </w:pPr>
      <w:r>
        <w:rPr>
          <w:rFonts w:ascii="Times New Roman" w:hAnsi="Times New Roman"/>
        </w:rPr>
        <w:t>1 Zweck</w:t>
      </w:r>
    </w:p>
    <w:p>
      <w:pPr>
        <w:jc w:val="left"/>
      </w:pPr>
      <w:r>
        <w:t>Dieser Vermerk dokumentiert, auf welchem Normstand die Bewertungen dieser Akte zur Verordnung (EU) 2024/1689 („KI-Verordnung") beruhen, und ordnet die Verifikationspflichten vor jeder Verwendung an.</w:t>
      </w:r>
    </w:p>
    <w:p>
      <w:pPr>
        <w:pStyle w:val="Heading2"/>
      </w:pPr>
      <w:r>
        <w:rPr>
          <w:rFonts w:ascii="Times New Roman" w:hAnsi="Times New Roman"/>
        </w:rPr>
        <w:t>2 Zugrunde gelegte Fassung und tragende Strukturen</w:t>
      </w:r>
    </w:p>
    <w:p>
      <w:pPr>
        <w:jc w:val="left"/>
      </w:pPr>
      <w:r>
        <w:t>Zugrunde liegt die Verordnung (EU) 2024/1689 in der im Amtsblatt der Europäischen Union verkündeten Stammfassung, ausgewertet nach dem Kenntnisstand vom 02.07.2026. Tragend sind allein folgende Grundstrukturen: die Transparenzpflichten für KI-generierte und manipulierte Inhalte, namentlich die maschinenlesbare Kennzeichnung durch Anbieter generativer Systeme und die Offenlegungspflicht der Betreiber bei Deepfakes; die Pflichten der Anbieter von KI-Modellen mit allgemeinem Verwendungszweck (GPAI), einschließlich der Zusammenfassung der Trainingsinhalte und der Urheberrechts-Policy; die Verantwortungsverteilung entlang der Wertschöpfungskette (GPAI-Anbieter — nachgelagerter Anbieter — Betreiber); die Marktüberwachung und der Sanktionsrahmen.</w:t>
      </w:r>
    </w:p>
    <w:p>
      <w:pPr>
        <w:pStyle w:val="Heading2"/>
      </w:pPr>
      <w:r>
        <w:rPr>
          <w:rFonts w:ascii="Times New Roman" w:hAnsi="Times New Roman"/>
        </w:rPr>
        <w:t>3 Zentrale zeitliche Unsicherheit</w:t>
      </w:r>
    </w:p>
    <w:p>
      <w:pPr>
        <w:jc w:val="left"/>
      </w:pPr>
      <w:r>
        <w:t xml:space="preserve">Für diese Akte ist die zeitliche Anwendbarkeit der Transparenzpflichten auf die Veröffentlichungen vom 05.06. bis 12.06.2026 die wichtigste offene Normstandsfrage. Nach der Stammfassung ist der Anwendungsbeginn der Transparenzvorschriften auf den 02.08.2026 gelegt und läge damit </w:t>
      </w:r>
      <w:r>
        <w:rPr>
          <w:b/>
        </w:rPr>
        <w:t>nach</w:t>
      </w:r>
      <w:r>
        <w:t xml:space="preserve"> den streitgegenständlichen Veröffentlichungen; die GPAI-Pflichten gelten demgegenüber bereits seit dem 02.08.2025. Beide Daten sowie etwaige Verschiebungen, Übergangs- oder Vorwirkungsregeln durch die laufenden Omnibus-Rechtsakte der Union sind </w:t>
      </w:r>
      <w:r>
        <w:rPr>
          <w:b/>
        </w:rPr>
        <w:t>vor jeder Verwendung amtlich zu verifizieren</w:t>
      </w:r>
      <w:r>
        <w:t xml:space="preserve"> [Normstand zu verifizieren]. Für die zivilrechtliche Anspruchsbegründung (allgemeines Persönlichkeitsrecht, KUG) und die DSA-Ebene kommt es hierauf nicht an; die Schriftsätze dieser Akte stützen sich deshalb bewusst nicht auf die KI-Verordnung als Anspruchsgrundlage, sondern führen sie nur ergänzend an.</w:t>
      </w:r>
    </w:p>
    <w:p>
      <w:pPr>
        <w:pStyle w:val="Heading2"/>
      </w:pPr>
      <w:r>
        <w:rPr>
          <w:rFonts w:ascii="Times New Roman" w:hAnsi="Times New Roman"/>
        </w:rPr>
        <w:t>4 Omnibus-Vorbehalt und Kennzeichnungsdisziplin</w:t>
      </w:r>
    </w:p>
    <w:p>
      <w:pPr>
        <w:jc w:val="left"/>
      </w:pPr>
      <w:r>
        <w:t>Die KI-Verordnung ist Gegenstand laufender Änderungsvorhaben (Omnibus-Rechtsakte), die Artikelnummerierungen, Fristen und Pflichtenkataloge — auch die hier einschlägigen Transparenz- und GPAI-Vorschriften — betreffen können. Sämtliche Artikel-, Absatz- und Fristangaben in dieser Akte sind vor Verwendung in Schriftsätzen, Beschwerden oder Mandantenkommunikation anhand amtlicher Quellen (EUR-Lex, konsolidierte Fassung; Bekanntmachungen der Marktüberwachungsbehörde) zu verifizieren. Erhebliche Unsicherheiten sind im Dokumenttext mit „[Normstand zu verifizieren]" gekennzeichnet. Durchführungs- oder delegierte Rechtsakte sowie etwaige Leitlinien der Kommission zur Kennzeichnung wurden nicht zugrunde gelegt; ihr Bestand ist bei der Verifikation mitzuprüfen. Gerichtsentscheidungen werden in dieser Akte nicht zitiert.</w:t>
      </w:r>
    </w:p>
    <w:p>
      <w:pPr>
        <w:pStyle w:val="Heading2"/>
      </w:pPr>
      <w:r>
        <w:rPr>
          <w:rFonts w:ascii="Times New Roman" w:hAnsi="Times New Roman"/>
        </w:rPr>
        <w:t>5 Parallelebenen</w:t>
      </w:r>
    </w:p>
    <w:p>
      <w:pPr>
        <w:jc w:val="left"/>
      </w:pPr>
      <w:r>
        <w:t>Unberührt vom Normstand der KI-Verordnung bleiben: die presse- und äußerungsrechtliche Ebene (§§ 823, 1004 BGB analog; §§ 22, 23 KUG), die Plattform-Ebene nach der Verordnung (EU) 2022/2065 (DSA), die Verordnung (EU) 2024/900 über Transparenz und Targeting politischer Werbung, deren Anwendbarkeit auf die konkrete Vereinskampagne gesondert zu prüfen ist [Normstand zu verifizieren], sowie die strafrechtliche Ebene (Verleumdung). Diese Ebenen tragen die Rechtsverfolgung unabhängig davon, ob die KI-transparenzrechtlichen Pflichten im Juni 2026 bereits anwendbar waren.</w:t>
      </w:r>
    </w:p>
    <w:p>
      <w:pPr>
        <w:jc w:val="left"/>
      </w:pPr>
      <w:r>
        <w:t>gez. Dr. Stollberg</w:t>
      </w:r>
    </w:p>
    <w:p>
      <w:pPr>
        <w:jc w:val="left"/>
      </w:pPr>
      <w:r>
        <w:t>Rechtsanwältin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Stollberg &amp; Wentzien Rechtsanwältinnen PartG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STOLLBERG &amp; WENTZIEN RECHTSANWÄLTINNEN PARTG MBB</w:t>
    </w:r>
  </w:p>
  <w:p>
    <w:pPr>
      <w:jc w:val="left"/>
      <w:pBdr>
        <w:bottom w:val="single" w:sz="8" w:space="2" w:color="7B2D3B"/>
      </w:pBdr>
    </w:pPr>
    <w:r>
      <w:rPr>
        <w:rFonts w:ascii="Times New Roman" w:hAnsi="Times New Roman"/>
        <w:color w:val="6B6B66"/>
        <w:sz w:val="16"/>
      </w:rPr>
      <w:t>Rechtsanwaltskanzlei · Aktenzeichen: 114/26 St | Verfasserin: RAin Dr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