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Normstand-Vermerk — anzuwendender Rechtsstand (KI-Vorfall, Datenschutz, Haftung)</w:t>
      </w:r>
    </w:p>
    <w:p>
      <w:pPr>
        <w:jc w:val="left"/>
      </w:pPr>
      <w:r>
        <w:t>NordLog Distribution GmbH — Rechtsabteilung</w:t>
      </w:r>
    </w:p>
    <w:p>
      <w:pPr>
        <w:jc w:val="left"/>
      </w:pPr>
      <w:r>
        <w:t>Ellinghausener Straße 90, 44359 Dortmund</w:t>
      </w:r>
    </w:p>
    <w:p>
      <w:pPr>
        <w:jc w:val="left"/>
      </w:pPr>
      <w:r>
        <w:t>Dokument-ID: NL-NORM-2026-002 | Stand: 04.07.2026 | Verfasser: Justitiariat NordLog</w:t>
      </w:r>
    </w:p>
    <w:p>
      <w:pPr>
        <w:pStyle w:val="Heading2"/>
      </w:pPr>
      <w:r>
        <w:rPr>
          <w:rFonts w:ascii="Times New Roman" w:hAnsi="Times New Roman"/>
        </w:rPr>
        <w:t>1 Zweck</w:t>
      </w:r>
    </w:p>
    <w:p>
      <w:pPr>
        <w:jc w:val="left"/>
      </w:pPr>
      <w:r>
        <w:t>Dieser Vermerk hält fest, welcher Rechtsstand der Bearbeitung des Vorfalls vom 24.06.2026 auf den drei Ebenen KI-Sicherheit, Datenschutz und Haftung zugrunde gelegt wird.</w:t>
      </w:r>
    </w:p>
    <w:p>
      <w:pPr>
        <w:pStyle w:val="Heading2"/>
      </w:pPr>
      <w:r>
        <w:rPr>
          <w:rFonts w:ascii="Times New Roman" w:hAnsi="Times New Roman"/>
        </w:rPr>
        <w:t>2 Zugrunde gelegter Rechtsstand</w:t>
      </w:r>
    </w:p>
    <w:p>
      <w:pPr>
        <w:pStyle w:val="Heading3"/>
      </w:pPr>
      <w:r>
        <w:rPr>
          <w:rFonts w:ascii="Times New Roman" w:hAnsi="Times New Roman"/>
        </w:rPr>
        <w:t>2.1 KI-Verordnung</w:t>
      </w:r>
    </w:p>
    <w:p>
      <w:pPr>
        <w:jc w:val="left"/>
      </w:pPr>
      <w:r>
        <w:t>Zugrunde gelegt wird die Verordnung (EU) 2024/1689 (KI-Verordnung) in der im Amtsblatt der Europäischen Union veröffentlichten Fassung, herangezogen ausschließlich in ihren Grundstrukturen: die Meldung schwerwiegender Vorfälle an die Marktüberwachungsbehörde sowie die Pflichten von Anbietern und Betreibern von KI-Systemen. Ob und in welcher Ausgestaltung eine Meldepflicht und welche Fristen bestehen, ist amtlich zu verifizieren [Normstand zu verifizieren].</w:t>
      </w:r>
    </w:p>
    <w:p>
      <w:pPr>
        <w:pStyle w:val="Heading3"/>
      </w:pPr>
      <w:r>
        <w:rPr>
          <w:rFonts w:ascii="Times New Roman" w:hAnsi="Times New Roman"/>
        </w:rPr>
        <w:t>2.2 Datenschutz</w:t>
      </w:r>
    </w:p>
    <w:p>
      <w:pPr>
        <w:jc w:val="left"/>
      </w:pPr>
      <w:r>
        <w:t>Herangezogen wird die Datenschutz-Grundverordnung, insbesondere die Grundsätze der Rechtmäßigkeit und Zweckbindung sowie die Meldung von Verletzungen des Schutzes personenbezogener Daten. Konkrete Artikel und Fristen sind zu verifizieren.</w:t>
      </w:r>
    </w:p>
    <w:p>
      <w:pPr>
        <w:pStyle w:val="Heading3"/>
      </w:pPr>
      <w:r>
        <w:rPr>
          <w:rFonts w:ascii="Times New Roman" w:hAnsi="Times New Roman"/>
        </w:rPr>
        <w:t>2.3 Haftung und Arbeitsschutz</w:t>
      </w:r>
    </w:p>
    <w:p>
      <w:pPr>
        <w:jc w:val="left"/>
      </w:pPr>
      <w:r>
        <w:t>Herangezogen werden das allgemeine deliktische und vertragliche Haftungsrecht, das Produkthaftungsrecht sowie die Vorschriften der gesetzlichen Unfallversicherung einschließlich des Haftungsprivilegs bei Arbeitsunfällen. Die einschlägigen Normen sind im Einzelfall zu prüfen.</w:t>
      </w:r>
    </w:p>
    <w:p>
      <w:pPr>
        <w:pStyle w:val="Heading2"/>
      </w:pPr>
      <w:r>
        <w:rPr>
          <w:rFonts w:ascii="Times New Roman" w:hAnsi="Times New Roman"/>
        </w:rPr>
        <w:t>3 Vorbehalt beweglicher Normstand</w:t>
      </w:r>
    </w:p>
    <w:p>
      <w:pPr>
        <w:jc w:val="left"/>
      </w:pPr>
      <w:r>
        <w:t>Die konkreten Artikel-, Fristen- und Anhangangaben der KI-Verordnung sind Gegenstand laufender Rechtsakte, einschließlich möglicher Änderungs- und Vereinfachungsvorhaben (Omnibus). Sämtliche Einzelnummern und Fristen in dieser Akte sind daher vorläufig und mit dem Hinweis [Normstand zu verifizieren] gekennzeichnet.</w:t>
      </w:r>
    </w:p>
    <w:p>
      <w:pPr>
        <w:pStyle w:val="Heading2"/>
      </w:pPr>
      <w:r>
        <w:rPr>
          <w:rFonts w:ascii="Times New Roman" w:hAnsi="Times New Roman"/>
        </w:rPr>
        <w:t>4 Anordnung</w:t>
      </w:r>
    </w:p>
    <w:p>
      <w:pPr>
        <w:pStyle w:val="Heading3"/>
      </w:pPr>
      <w:r>
        <w:rPr>
          <w:rFonts w:ascii="Times New Roman" w:hAnsi="Times New Roman"/>
        </w:rPr>
        <w:t>4.1 Verifikation vor Verwendung</w:t>
      </w:r>
    </w:p>
    <w:p>
      <w:pPr>
        <w:jc w:val="left"/>
      </w:pPr>
      <w:r>
        <w:t>Vor jeder externen Verwendung sind die einschlägigen Vorschriften und Fristen anhand der amtlichen konsolidierten Fassungen (EUR-Lex, nationale Gesetze) zu verifizieren.</w:t>
      </w:r>
    </w:p>
    <w:p>
      <w:pPr>
        <w:pStyle w:val="Heading3"/>
      </w:pPr>
      <w:r>
        <w:rPr>
          <w:rFonts w:ascii="Times New Roman" w:hAnsi="Times New Roman"/>
        </w:rPr>
        <w:t>4.2 Keine Erfindung von Sekundärrechtsakten und Entscheidungen</w:t>
      </w:r>
    </w:p>
    <w:p>
      <w:pPr>
        <w:jc w:val="left"/>
      </w:pPr>
      <w:r>
        <w:t>Es werden keine Durchführungs- oder delegierten Rechtsakte, harmonisierten Normen, Leitlinien oder Gerichtsentscheidungen als geltend zitiert, deren Bestand nicht amtlich verifiziert ist.</w:t>
      </w:r>
    </w:p>
    <w:p>
      <w:pPr>
        <w:pStyle w:val="Heading3"/>
      </w:pPr>
      <w:r>
        <w:rPr>
          <w:rFonts w:ascii="Times New Roman" w:hAnsi="Times New Roman"/>
        </w:rPr>
        <w:t>4.3 Aktenzeichen</w:t>
      </w:r>
    </w:p>
    <w:p>
      <w:pPr>
        <w:jc w:val="left"/>
      </w:pPr>
      <w:r>
        <w:t>Die Eingangsbestätigung der Aufsichtsbehörde liegt noch nicht vor. Das endgültige behördliche Aktenzeichen ist nach Eingang in der Handakte nachzutragen.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NordLog Distribution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NordLog Distribution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