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Produktbeschreibung — KI-Triage-System „TriageAssist" (Version 2.1)</w:t>
      </w:r>
    </w:p>
    <w:p>
      <w:pPr>
        <w:jc w:val="left"/>
      </w:pPr>
      <w:r>
        <w:t>SaniScore Medizintechnik GmbH</w:t>
      </w:r>
    </w:p>
    <w:p>
      <w:pPr>
        <w:jc w:val="left"/>
      </w:pPr>
      <w:r>
        <w:t>Georges-Köhler-Allee 12, 79110 Freiburg im Breisgau</w:t>
      </w:r>
    </w:p>
    <w:p>
      <w:pPr>
        <w:jc w:val="left"/>
      </w:pPr>
      <w:r>
        <w:t>Telefon: 0761 45098-0 | E-Mail: regulatory@saniscore.de</w:t>
      </w:r>
    </w:p>
    <w:p>
      <w:pPr>
        <w:jc w:val="left"/>
      </w:pPr>
      <w:r>
        <w:t>HRB 71204, Amtsgericht Freiburg | Geschäftsführung: Dr. med. Katharina Vollmer, Dipl.-Ing. Tobias Reinke</w:t>
      </w:r>
    </w:p>
    <w:p>
      <w:pPr>
        <w:jc w:val="left"/>
      </w:pPr>
      <w:r>
        <w:t>Dokument-ID: SS-PROD-TA-001 | Version: 2.1 | Stand: 12.11.2025 | Klassifizierung: intern / Teil der technischen Dokumentation</w:t>
      </w:r>
    </w:p>
    <w:p>
      <w:pPr>
        <w:jc w:val="left"/>
      </w:pPr>
      <w:r>
        <w:t>Formathinweis: Times New Roman, 11 pt, dezimale Gliederung (Exportvorgabe; die Chat-/Markdown-Fassung bildet dies nur inhaltlich ab).</w:t>
      </w:r>
    </w:p>
    <w:p>
      <w:pPr>
        <w:pStyle w:val="Heading2"/>
      </w:pPr>
      <w:r>
        <w:rPr>
          <w:rFonts w:ascii="Times New Roman" w:hAnsi="Times New Roman"/>
        </w:rPr>
        <w:t>1 Gegenstand</w:t>
      </w:r>
    </w:p>
    <w:p>
      <w:pPr>
        <w:jc w:val="left"/>
      </w:pPr>
      <w:r>
        <w:t>Die vorliegende Produktbeschreibung beschreibt das Software-Medizinprodukt „TriageAssist" in der Version 2.1. TriageAssist ist ein eigenständiges Softwaresystem (Software as a Medical Device), das das Pflege- und Ärzteteam einer Notaufnahme bei der Ersteinschätzung der Behandlungsdringlichkeit ankommender Patientinnen und Patienten unterstützt. Das System ist kein Ersatz für die ärztliche oder pflegerische Entscheidung, sondern liefert einen Dringlichkeitsvorschlag auf einer fünfstufigen Skala.</w:t>
      </w:r>
    </w:p>
    <w:p>
      <w:pPr>
        <w:pStyle w:val="Heading2"/>
      </w:pPr>
      <w:r>
        <w:rPr>
          <w:rFonts w:ascii="Times New Roman" w:hAnsi="Times New Roman"/>
        </w:rPr>
        <w:t>2 Funktionsweise</w:t>
      </w:r>
    </w:p>
    <w:p>
      <w:pPr>
        <w:pStyle w:val="Heading3"/>
      </w:pPr>
      <w:r>
        <w:rPr>
          <w:rFonts w:ascii="Times New Roman" w:hAnsi="Times New Roman"/>
        </w:rPr>
        <w:t>2.1 Eingaben</w:t>
      </w:r>
    </w:p>
    <w:p>
      <w:pPr>
        <w:jc w:val="left"/>
      </w:pPr>
      <w:r>
        <w:t>TriageAssist verarbeitet strukturierte Vitalparameter (Herzfrequenz, Blutdruck, Sauerstoffsättigung, Atemfrequenz, Temperatur, Bewusstseinsgrad nach Glasgow Coma Scale), das Alter, das Geschlecht sowie eine freitextliche Leitsymptomangabe, die durch ein vorgeschaltetes Sprachmodell in strukturierte Merkmale überführt wird.</w:t>
      </w:r>
    </w:p>
    <w:p>
      <w:pPr>
        <w:pStyle w:val="Heading3"/>
      </w:pPr>
      <w:r>
        <w:rPr>
          <w:rFonts w:ascii="Times New Roman" w:hAnsi="Times New Roman"/>
        </w:rPr>
        <w:t>2.2 Modell</w:t>
      </w:r>
    </w:p>
    <w:p>
      <w:pPr>
        <w:jc w:val="left"/>
      </w:pPr>
      <w:r>
        <w:t>Das Kernmodell ist ein überwachtes Klassifikationsmodell (Gradient-Boosting-Ensemble), das auf retrospektiven Notaufnahmedaten aus sechs Kliniken trainiert wurde. Das Modell gibt für jede Person eine Dringlichkeitsstufe von 1 (sofort, unmittelbar lebensbedrohlich) bis 5 (nicht dringlich) sowie einen kalibrierten Konfidenzwert aus.</w:t>
      </w:r>
    </w:p>
    <w:p>
      <w:pPr>
        <w:pStyle w:val="Heading3"/>
      </w:pPr>
      <w:r>
        <w:rPr>
          <w:rFonts w:ascii="Times New Roman" w:hAnsi="Times New Roman"/>
        </w:rPr>
        <w:t>2.3 Ausgabe und Zielgröße</w:t>
      </w:r>
    </w:p>
    <w:p>
      <w:pPr>
        <w:jc w:val="left"/>
      </w:pPr>
      <w:r>
        <w:t>Für die Konformitätsbewertung maßgeblich ist die Trennschärfe zwischen dringlichen Fällen (Stufen 1 und 2, im Folgenden „kritisch") und nicht dringlichen Fällen (Stufen 3 bis 5). Die zentrale sicherheitsrelevante Kenngröße ist die Sensitivität, also der Anteil der tatsächlich kritischen Fälle, die das System als kritisch erkennt. Ein nicht erkannter kritischer Fall (falsch-negativ) ist das schwerwiegendste Fehlerereignis.</w:t>
      </w:r>
    </w:p>
    <w:p>
      <w:pPr>
        <w:pStyle w:val="Heading2"/>
      </w:pPr>
      <w:r>
        <w:rPr>
          <w:rFonts w:ascii="Times New Roman" w:hAnsi="Times New Roman"/>
        </w:rPr>
        <w:t>3 Zweckbestimmung (Kurzfassung)</w:t>
      </w:r>
    </w:p>
    <w:p>
      <w:pPr>
        <w:jc w:val="left"/>
      </w:pPr>
      <w:r>
        <w:t>TriageAssist ist zur unterstützenden Ersteinschätzung erwachsener Patientinnen und Patienten (ab 18 Jahren) in Notaufnahmen der Regelversorgung bestimmt. Die ausführliche Zweckbestimmung und die regulatorische Einordnung ergeben sich aus Aktenstück 02.</w:t>
      </w:r>
    </w:p>
    <w:p>
      <w:pPr>
        <w:pStyle w:val="Heading2"/>
      </w:pPr>
      <w:r>
        <w:rPr>
          <w:rFonts w:ascii="Times New Roman" w:hAnsi="Times New Roman"/>
        </w:rPr>
        <w:t>4 Betriebsumgebung</w:t>
      </w:r>
    </w:p>
    <w:p>
      <w:pPr>
        <w:jc w:val="left"/>
      </w:pPr>
      <w:r>
        <w:t>Das System wird als serverbasierte Anwendung in der Klinik-IT betrieben und über die Triage-Arbeitsplätze der Notaufnahme bedient. Die Anbindung an das Krankenhausinformationssystem erfolgt über eine standardisierte Schnittstelle.</w:t>
      </w:r>
    </w:p>
    <w:p>
      <w:pPr>
        <w:pStyle w:val="Heading2"/>
      </w:pPr>
      <w:r>
        <w:rPr>
          <w:rFonts w:ascii="Times New Roman" w:hAnsi="Times New Roman"/>
        </w:rPr>
        <w:t>5 Rollen</w:t>
      </w:r>
    </w:p>
    <w:p>
      <w:pPr>
        <w:jc w:val="left"/>
      </w:pPr>
      <w:r>
        <w:t>Betreiberinnen sind die einsetzenden Kliniken. Anbieterin und für die Konformität verantwortliche Herstellerin ist die SaniScore Medizintechnik GmbH. Die für die Einhaltung der Regulierungsvorschriften verantwortliche Person ist Dr. Annika Sperling (Leitung Regulatory Affairs).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SaniScore Medizintechnik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SaniScore Medizintechnik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