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Zweckbestimmung und regulatorische Einordnung — „TriageAssist" (Version 2.1)</w:t>
      </w:r>
    </w:p>
    <w:p>
      <w:pPr>
        <w:jc w:val="left"/>
      </w:pPr>
      <w:r>
        <w:t>SaniScore Medizintechnik GmbH</w:t>
      </w:r>
    </w:p>
    <w:p>
      <w:pPr>
        <w:jc w:val="left"/>
      </w:pPr>
      <w:r>
        <w:t>Georges-Köhler-Allee 12, 79110 Freiburg im Breisgau</w:t>
      </w:r>
    </w:p>
    <w:p>
      <w:pPr>
        <w:jc w:val="left"/>
      </w:pPr>
      <w:r>
        <w:t>Telefon: 0761 45098-0 | E-Mail: regulatory@saniscore.de</w:t>
      </w:r>
    </w:p>
    <w:p>
      <w:pPr>
        <w:jc w:val="left"/>
      </w:pPr>
      <w:r>
        <w:t>HRB 71204, Amtsgericht Freiburg | Geschäftsführung: Dr. med. Katharina Vollmer, Dipl.-Ing. Tobias Reinke</w:t>
      </w:r>
    </w:p>
    <w:p>
      <w:pPr>
        <w:jc w:val="left"/>
      </w:pPr>
      <w:r>
        <w:t>Dokument-ID: SS-ZWB-TA-002 | Version: 2.1 | Stand: 20.11.2025 | Verantwortlich: Dr. Annika Sperling (Regulatory Affairs)</w:t>
      </w:r>
    </w:p>
    <w:p>
      <w:pPr>
        <w:pStyle w:val="Heading2"/>
      </w:pPr>
      <w:r>
        <w:rPr>
          <w:rFonts w:ascii="Times New Roman" w:hAnsi="Times New Roman"/>
        </w:rPr>
        <w:t>1 Zweckbestimmung</w:t>
      </w:r>
    </w:p>
    <w:p>
      <w:pPr>
        <w:jc w:val="left"/>
      </w:pPr>
      <w:r>
        <w:t>TriageAssist ist dazu bestimmt, qualifiziertes Fachpersonal (Triage-Pflegekräfte, ärztliches Personal) bei der Ersteinschätzung der Behandlungsdringlichkeit erwachsener Patientinnen und Patienten in der Notaufnahme zu unterstützen. Das System erstellt einen Dringlichkeitsvorschlag; die verbindliche Triage-Entscheidung trifft ausschließlich das Fachpersonal. TriageAssist trifft keine Diagnose und ordnet keine Behandlung an.</w:t>
      </w:r>
    </w:p>
    <w:p>
      <w:pPr>
        <w:pStyle w:val="Heading2"/>
      </w:pPr>
      <w:r>
        <w:rPr>
          <w:rFonts w:ascii="Times New Roman" w:hAnsi="Times New Roman"/>
        </w:rPr>
        <w:t>2 Bestimmungsgemäße Verwender und Patientengruppe</w:t>
      </w:r>
    </w:p>
    <w:p>
      <w:pPr>
        <w:jc w:val="left"/>
      </w:pPr>
      <w:r>
        <w:t>Verwender sind ausgebildete Triage-Fachkräfte. Die bestimmungsgemäße Patientengruppe umfasst erwachsene Personen ab 18 Jahren ohne obere Altersgrenze. Eine Einschränkung für hochbetagte Personen ist ausdrücklich nicht vorgesehen; das System wird auch für Patientinnen und Patienten über 80 Jahren beworben und eingesetzt.</w:t>
      </w:r>
    </w:p>
    <w:p>
      <w:pPr>
        <w:pStyle w:val="Heading2"/>
      </w:pPr>
      <w:r>
        <w:rPr>
          <w:rFonts w:ascii="Times New Roman" w:hAnsi="Times New Roman"/>
        </w:rPr>
        <w:t>3 Einordnung als Medizinprodukt</w:t>
      </w:r>
    </w:p>
    <w:p>
      <w:pPr>
        <w:pStyle w:val="Heading3"/>
      </w:pPr>
      <w:r>
        <w:rPr>
          <w:rFonts w:ascii="Times New Roman" w:hAnsi="Times New Roman"/>
        </w:rPr>
        <w:t>3.1 Medizinprodukte-Recht</w:t>
      </w:r>
    </w:p>
    <w:p>
      <w:pPr>
        <w:jc w:val="left"/>
      </w:pPr>
      <w:r>
        <w:t>TriageAssist ist ein Software-Medizinprodukt im Sinne der Verordnung (EU) 2017/745 (Medizinprodukteverordnung, MDR). Nach der einschlägigen Klassifizierungsregel für entscheidungsunterstützende Software ordnet die Herstellerin das Produkt der Risikoklasse IIb zu [Normstand zu verifizieren]. Damit ist die Einbindung einer benannten Stelle in das Konformitätsbewertungsverfahren erforderlich.</w:t>
      </w:r>
    </w:p>
    <w:p>
      <w:pPr>
        <w:pStyle w:val="Heading3"/>
      </w:pPr>
      <w:r>
        <w:rPr>
          <w:rFonts w:ascii="Times New Roman" w:hAnsi="Times New Roman"/>
        </w:rPr>
        <w:t>3.2 KI-Verordnung</w:t>
      </w:r>
    </w:p>
    <w:p>
      <w:pPr>
        <w:jc w:val="left"/>
      </w:pPr>
      <w:r>
        <w:t>TriageAssist ist zugleich ein KI-System im Sinne der Verordnung (EU) 2024/1689 (KI-Verordnung). Da das Produkt als Sicherheitsbauteil beziehungsweise als Produkt unter das Medizinprodukterecht als Unionsharmonisierungsvorschrift fällt und einer Konformitätsbewertung durch eine benannte Stelle unterliegt, stuft die Herstellerin das System als Hochrisiko-KI-System ein [Normstand zu verifizieren]. Die Einzelheiten der Einstufung und der einschlägigen Anhänge sind vor Verwendung amtlich zu verifizieren (siehe Aktenstück 13).</w:t>
      </w:r>
    </w:p>
    <w:p>
      <w:pPr>
        <w:pStyle w:val="Heading3"/>
      </w:pPr>
      <w:r>
        <w:rPr>
          <w:rFonts w:ascii="Times New Roman" w:hAnsi="Times New Roman"/>
        </w:rPr>
        <w:t>3.3 Zusammenführung der Verfahren</w:t>
      </w:r>
    </w:p>
    <w:p>
      <w:pPr>
        <w:jc w:val="left"/>
      </w:pPr>
      <w:r>
        <w:t>Die Herstellerin beabsichtigt, die Anforderungen der KI-Verordnung in das nach der MDR ohnehin durchzuführende Konformitätsbewertungsverfahren zu integrieren und durch dieselbe benannte Stelle prüfen zu lassen, soweit deren Benennung dies abdeckt. Ob die beauftragte benannte Stelle für die KI-Verordnung notifiziert ist, ist gesondert zu klären [Normstand zu verifizieren].</w:t>
      </w:r>
    </w:p>
    <w:p>
      <w:pPr>
        <w:pStyle w:val="Heading2"/>
      </w:pPr>
      <w:r>
        <w:rPr>
          <w:rFonts w:ascii="Times New Roman" w:hAnsi="Times New Roman"/>
        </w:rPr>
        <w:t>4 Anzuwendende Anforderungen (Hochrisiko-KI)</w:t>
      </w:r>
    </w:p>
    <w:p>
      <w:pPr>
        <w:jc w:val="left"/>
      </w:pPr>
      <w:r>
        <w:t>Die Herstellerin legt der internen Prüfung die folgenden Anforderungskomplexe der KI-Verordnung zugrunde: Risikomanagementsystem, Daten und Daten-Governance, technische Dokumentation, Aufzeichnungspflichten (Protokollierung), Transparenz und Bereitstellung von Informationen, menschliche Aufsicht sowie Genauigkeit, Robustheit und Cybersicherheit. Die konkrete Artikel- und Anhangszuordnung ist amtlich zu verifizieren.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SaniScore Medizintechnik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SaniScore Medizintechnik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