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Risikomanagement-Akte — Auszug (Risikoregister und Bewertung)</w:t>
      </w:r>
    </w:p>
    <w:p>
      <w:pPr>
        <w:jc w:val="left"/>
      </w:pPr>
      <w:r>
        <w:t>SaniScore Medizintechnik GmbH</w:t>
      </w:r>
    </w:p>
    <w:p>
      <w:pPr>
        <w:jc w:val="left"/>
      </w:pPr>
      <w:r>
        <w:t>Georges-Köhler-Allee 12, 79110 Freiburg im Breisgau</w:t>
      </w:r>
    </w:p>
    <w:p>
      <w:pPr>
        <w:jc w:val="left"/>
      </w:pPr>
      <w:r>
        <w:t>Telefon: 0761 45098-0 | E-Mail: regulatory@saniscore.de</w:t>
      </w:r>
    </w:p>
    <w:p>
      <w:pPr>
        <w:jc w:val="left"/>
      </w:pPr>
      <w:r>
        <w:t>Dokument-ID: SS-RM-TA-014 | Version: 3.0 | Stand: 15.01.2026 | Verantwortlich: Dr. Annika Sperling; Risikomanager: Dipl.-Ing. Tobias Reinke</w:t>
      </w:r>
    </w:p>
    <w:p>
      <w:pPr>
        <w:pStyle w:val="Heading2"/>
      </w:pPr>
      <w:r>
        <w:rPr>
          <w:rFonts w:ascii="Times New Roman" w:hAnsi="Times New Roman"/>
        </w:rPr>
        <w:t>1 Zweck und Methode</w:t>
      </w:r>
    </w:p>
    <w:p>
      <w:pPr>
        <w:jc w:val="left"/>
      </w:pPr>
      <w:r>
        <w:t>Dieser Auszug dokumentiert das Risikomanagementsystem für TriageAssist 2.1. Risiken werden nach Eintrittswahrscheinlichkeit und Schweregrad bewertet und mit Maßnahmen zur Risikominderung versehen. Das Risikomanagement ist als fortlaufender Prozess über den gesamten Lebenszyklus angelegt.</w:t>
      </w:r>
    </w:p>
    <w:p>
      <w:pPr>
        <w:pStyle w:val="Heading2"/>
      </w:pPr>
      <w:r>
        <w:rPr>
          <w:rFonts w:ascii="Times New Roman" w:hAnsi="Times New Roman"/>
        </w:rPr>
        <w:t>2 Risikoregister (Auszug)</w:t>
      </w:r>
    </w:p>
    <w:p>
      <w:pPr>
        <w:pStyle w:val="Heading3"/>
      </w:pPr>
      <w:r>
        <w:rPr>
          <w:rFonts w:ascii="Times New Roman" w:hAnsi="Times New Roman"/>
        </w:rPr>
        <w:t>2.1 Risiko R-01 — Falsch-negative Einstufung eines kritischen Falls</w:t>
      </w:r>
    </w:p>
    <w:p>
      <w:pPr>
        <w:jc w:val="left"/>
      </w:pPr>
      <w:r>
        <w:t>Beschreibung: Ein tatsächlich kritischer Fall wird als nicht dringlich eingestuft; Folge ist eine verzögerte Behandlung. Schweregrad: hoch. Maßnahme: Sensitivitätsschwelle im Modell konservativ gesetzt; verbindliche menschliche Letztentscheidung. Restrisiko: akzeptabel (Bewertung des Herstellers).</w:t>
      </w:r>
    </w:p>
    <w:p>
      <w:pPr>
        <w:pStyle w:val="Heading3"/>
      </w:pPr>
      <w:r>
        <w:rPr>
          <w:rFonts w:ascii="Times New Roman" w:hAnsi="Times New Roman"/>
        </w:rPr>
        <w:t>2.2 Risiko R-02 — Automation Bias</w:t>
      </w:r>
    </w:p>
    <w:p>
      <w:pPr>
        <w:jc w:val="left"/>
      </w:pPr>
      <w:r>
        <w:t>Beschreibung: Das Fachpersonal übernimmt den Systemvorschlag ungeprüft. Schweregrad: mittel. Maßnahme: Hinweis in der Benutzeroberfläche, Schulung. Restrisiko: akzeptabel.</w:t>
      </w:r>
    </w:p>
    <w:p>
      <w:pPr>
        <w:pStyle w:val="Heading3"/>
      </w:pPr>
      <w:r>
        <w:rPr>
          <w:rFonts w:ascii="Times New Roman" w:hAnsi="Times New Roman"/>
        </w:rPr>
        <w:t>2.3 Risiko R-03 — Ausfall der Schnittstelle zum Krankenhausinformationssystem</w:t>
      </w:r>
    </w:p>
    <w:p>
      <w:pPr>
        <w:jc w:val="left"/>
      </w:pPr>
      <w:r>
        <w:t>Beschreibung: Vitalparameter werden unvollständig übernommen. Schweregrad: mittel. Maßnahme: Plausibilitätsprüfung, Warnhinweis bei fehlenden Werten. Restrisiko: akzeptabel.</w:t>
      </w:r>
    </w:p>
    <w:p>
      <w:pPr>
        <w:pStyle w:val="Heading3"/>
      </w:pPr>
      <w:r>
        <w:rPr>
          <w:rFonts w:ascii="Times New Roman" w:hAnsi="Times New Roman"/>
        </w:rPr>
        <w:t>2.4 Risiko R-04 — Fehlgebrauch außerhalb der Zweckbestimmung</w:t>
      </w:r>
    </w:p>
    <w:p>
      <w:pPr>
        <w:jc w:val="left"/>
      </w:pPr>
      <w:r>
        <w:t>Beschreibung: Einsatz bei Kindern oder ohne Fachpersonal. Schweregrad: hoch. Maßnahme: Gebrauchsanweisung, technische Alterssperre unter 18 Jahren. Restrisiko: akzeptabel.</w:t>
      </w:r>
    </w:p>
    <w:p>
      <w:pPr>
        <w:pStyle w:val="Heading2"/>
      </w:pPr>
      <w:r>
        <w:rPr>
          <w:rFonts w:ascii="Times New Roman" w:hAnsi="Times New Roman"/>
        </w:rPr>
        <w:t>3 Zusammenfassende Bewertung</w:t>
      </w:r>
    </w:p>
    <w:p>
      <w:pPr>
        <w:jc w:val="left"/>
      </w:pPr>
      <w:r>
        <w:t>Nach Auffassung des Risikomanagements sind alle identifizierten Risiken durch Maßnahmen auf ein akzeptables Restrisiko reduziert. Ein systematischer Zusammenhang zwischen Modellleistung und Patientenuntergruppen (Alter, Geschlecht, Herkunft) wurde im Rahmen der Risikoanalyse nicht als eigenständiges Risiko aufgenommen; die Leistung wird als über alle Gruppen gleichwertig angenommen.</w:t>
      </w:r>
    </w:p>
    <w:p>
      <w:pPr>
        <w:pStyle w:val="Heading2"/>
      </w:pPr>
      <w:r>
        <w:rPr>
          <w:rFonts w:ascii="Times New Roman" w:hAnsi="Times New Roman"/>
        </w:rPr>
        <w:t>4 Offener Hinweis der Modellentwicklung (nachrichtlich, nicht in die Bewertung übernommen)</w:t>
      </w:r>
    </w:p>
    <w:p>
      <w:pPr>
        <w:jc w:val="left"/>
      </w:pPr>
      <w:r>
        <w:t>Aus der Modellentwicklung (Dr. Jonas Kettler) liegt ein Hinweis vor, dass die Datengrundlage für hochbetagte Patientinnen und Patienten dünn sei und die Leistung in dieser Gruppe gesondert zu prüfen sei. Dieser Hinweis wurde zur Kenntnis genommen; eine Aufnahme als Risiko R-05 mit eigener Maßnahme ist bislang nicht erfolgt. Eine Entscheidung hierüber steht aus.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