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Technische Dokumentation — Auszug (Leistung, Daten, Genauigkeit)</w:t>
      </w:r>
    </w:p>
    <w:p>
      <w:pPr>
        <w:jc w:val="left"/>
      </w:pPr>
      <w:r>
        <w:t>SaniScore Medizintechnik GmbH</w:t>
      </w:r>
    </w:p>
    <w:p>
      <w:pPr>
        <w:jc w:val="left"/>
      </w:pPr>
      <w:r>
        <w:t>Georges-Köhler-Allee 12, 79110 Freiburg im Breisgau</w:t>
      </w:r>
    </w:p>
    <w:p>
      <w:pPr>
        <w:jc w:val="left"/>
      </w:pPr>
      <w:r>
        <w:t>Telefon: 0761 45098-0 | E-Mail: regulatory@saniscore.de</w:t>
      </w:r>
    </w:p>
    <w:p>
      <w:pPr>
        <w:jc w:val="left"/>
      </w:pPr>
      <w:r>
        <w:t>Dokument-ID: SS-TD-TA-021 | Version: 2.1 | Stand: 06.02.2026 | Verantwortlich: Dr. Annika Sperling; fachlich: Dr. Jonas Kettler (Modellentwicklung)</w:t>
      </w:r>
    </w:p>
    <w:p>
      <w:pPr>
        <w:pStyle w:val="Heading2"/>
      </w:pPr>
      <w:r>
        <w:rPr>
          <w:rFonts w:ascii="Times New Roman" w:hAnsi="Times New Roman"/>
        </w:rPr>
        <w:t>1 Gegenstand des Auszugs</w:t>
      </w:r>
    </w:p>
    <w:p>
      <w:pPr>
        <w:jc w:val="left"/>
      </w:pPr>
      <w:r>
        <w:t>Dieser Auszug fasst die für die Anforderungen an Daten-Governance sowie Genauigkeit und Robustheit maßgeblichen Angaben der technischen Dokumentation zusammen. Er ist Grundlage der Entwurfsfassung der EU-Konformitätserklärung (Aktenstück 11).</w:t>
      </w:r>
    </w:p>
    <w:p>
      <w:pPr>
        <w:pStyle w:val="Heading2"/>
      </w:pPr>
      <w:r>
        <w:rPr>
          <w:rFonts w:ascii="Times New Roman" w:hAnsi="Times New Roman"/>
        </w:rPr>
        <w:t>2 Datengrundlage</w:t>
      </w:r>
    </w:p>
    <w:p>
      <w:pPr>
        <w:pStyle w:val="Heading3"/>
      </w:pPr>
      <w:r>
        <w:rPr>
          <w:rFonts w:ascii="Times New Roman" w:hAnsi="Times New Roman"/>
        </w:rPr>
        <w:t>2.1 Herkunft</w:t>
      </w:r>
    </w:p>
    <w:p>
      <w:pPr>
        <w:jc w:val="left"/>
      </w:pPr>
      <w:r>
        <w:t>Das Modell wurde auf retrospektiven Notaufnahmedaten aus sechs Kliniken trainiert und validiert. Die vollständige Aufstellung der Datensätze je Klinik einschließlich demografischer Aufschlüsselung und dokumentierter Fehlerraten ist als Aktenstück 05 beigefügt.</w:t>
      </w:r>
    </w:p>
    <w:p>
      <w:pPr>
        <w:pStyle w:val="Heading3"/>
      </w:pPr>
      <w:r>
        <w:rPr>
          <w:rFonts w:ascii="Times New Roman" w:hAnsi="Times New Roman"/>
        </w:rPr>
        <w:t>2.2 Bewertung der Datenqualität</w:t>
      </w:r>
    </w:p>
    <w:p>
      <w:pPr>
        <w:jc w:val="left"/>
      </w:pPr>
      <w:r>
        <w:t>Die Datensätze werden in der technischen Dokumentation als „für die Zweckbestimmung repräsentativ, hinreichend umfangreich und von hoher Qualität" bewertet. Die Trainingsdaten seien „hinsichtlich der relevanten Patientenmerkmale ausgewogen".</w:t>
      </w:r>
    </w:p>
    <w:p>
      <w:pPr>
        <w:pStyle w:val="Heading2"/>
      </w:pPr>
      <w:r>
        <w:rPr>
          <w:rFonts w:ascii="Times New Roman" w:hAnsi="Times New Roman"/>
        </w:rPr>
        <w:t>3 Genauigkeit und Robustheit</w:t>
      </w:r>
    </w:p>
    <w:p>
      <w:pPr>
        <w:pStyle w:val="Heading3"/>
      </w:pPr>
      <w:r>
        <w:rPr>
          <w:rFonts w:ascii="Times New Roman" w:hAnsi="Times New Roman"/>
        </w:rPr>
        <w:t>3.1 Validierung</w:t>
      </w:r>
    </w:p>
    <w:p>
      <w:pPr>
        <w:jc w:val="left"/>
      </w:pPr>
      <w:r>
        <w:t>Die Modellleistung wurde an einem gesonderten Validierungsdatensatz mit 140 Fällen geprüft (Rohdaten siehe Aktenstück 06). Als sicherheitskritische Kenngröße wurde die Sensitivität für kritische Fälle (Stufen 1 und 2) ausgewertet.</w:t>
      </w:r>
    </w:p>
    <w:p>
      <w:pPr>
        <w:pStyle w:val="Heading3"/>
      </w:pPr>
      <w:r>
        <w:rPr>
          <w:rFonts w:ascii="Times New Roman" w:hAnsi="Times New Roman"/>
        </w:rPr>
        <w:t>3.2 Ergebnisangabe</w:t>
      </w:r>
    </w:p>
    <w:p>
      <w:pPr>
        <w:jc w:val="left"/>
      </w:pPr>
      <w:r>
        <w:t>Die technische Dokumentation weist aus:</w:t>
      </w:r>
    </w:p>
    <w:p>
      <w:pPr>
        <w:pStyle w:val="ListBullet"/>
      </w:pPr>
      <w:r>
        <w:t>Sensitivität (kritische Fälle), gesamt: 94 Prozent.</w:t>
      </w:r>
    </w:p>
    <w:p>
      <w:pPr>
        <w:pStyle w:val="ListBullet"/>
      </w:pPr>
      <w:r>
        <w:t>Spezifität (nicht kritische Fälle), gesamt: rund 88 Prozent.</w:t>
      </w:r>
    </w:p>
    <w:p>
      <w:pPr>
        <w:pStyle w:val="ListBullet"/>
      </w:pPr>
      <w:r>
        <w:t>Subgruppenanalyse: „Es wurden keine klinisch relevanten Leistungsunterschiede zwischen Alters-, Geschlechts- oder Herkunftsgruppen festgestellt (Abweichung jeweils unter drei Prozentpunkten)."</w:t>
      </w:r>
    </w:p>
    <w:p>
      <w:pPr>
        <w:pStyle w:val="Heading3"/>
      </w:pPr>
      <w:r>
        <w:rPr>
          <w:rFonts w:ascii="Times New Roman" w:hAnsi="Times New Roman"/>
        </w:rPr>
        <w:t>3.3 Robustheit</w:t>
      </w:r>
    </w:p>
    <w:p>
      <w:pPr>
        <w:jc w:val="left"/>
      </w:pPr>
      <w:r>
        <w:t>Das Modell verhalte sich bei fehlenden Einzelwerten stabil; eine Plausibilitätsprüfung fange unvollständige Eingaben ab.</w:t>
      </w:r>
    </w:p>
    <w:p>
      <w:pPr>
        <w:pStyle w:val="Heading2"/>
      </w:pPr>
      <w:r>
        <w:rPr>
          <w:rFonts w:ascii="Times New Roman" w:hAnsi="Times New Roman"/>
        </w:rPr>
        <w:t>4 Menschliche Aufsicht (Verweis)</w:t>
      </w:r>
    </w:p>
    <w:p>
      <w:pPr>
        <w:jc w:val="left"/>
      </w:pPr>
      <w:r>
        <w:t>Die Ausgestaltung der menschlichen Aufsicht ergibt sich aus dem gesonderten Konzept (Aktenstück 09). Die technische Dokumentation geht davon aus, dass die verbindliche Letztentscheidung des Fachpersonals als menschliche Aufsicht ausreicht.</w:t>
      </w:r>
    </w:p>
    <w:p>
      <w:pPr>
        <w:pStyle w:val="Heading2"/>
      </w:pPr>
      <w:r>
        <w:rPr>
          <w:rFonts w:ascii="Times New Roman" w:hAnsi="Times New Roman"/>
        </w:rPr>
        <w:t>5 Anmerkung zur Datenlage (Fußnote der Modellentwicklung)</w:t>
      </w:r>
    </w:p>
    <w:p>
      <w:pPr>
        <w:jc w:val="left"/>
      </w:pPr>
      <w:r>
        <w:t>Fußnote 7 der technischen Dokumentation lautet im Original: „Die Fallzahl in der Altersgruppe ab 80 Jahren ist im Trainingsdatensatz begrenzt; eine gruppenspezifische Auswertung der Sensitivität wird empfohlen." Diese Auswertung ist im vorliegenden Auszug nicht ausgewiesen.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SaniScore Medizintechnik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SaniScore Medizintechnik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