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Testbericht — Genauigkeit und Robustheit (Validierungslauf V-2026-03)</w:t>
      </w:r>
    </w:p>
    <w:p>
      <w:pPr>
        <w:jc w:val="left"/>
      </w:pPr>
      <w:r>
        <w:t>SaniScore Medizintechnik GmbH</w:t>
      </w:r>
    </w:p>
    <w:p>
      <w:pPr>
        <w:jc w:val="left"/>
      </w:pPr>
      <w:r>
        <w:t>Georges-Köhler-Allee 12, 79110 Freiburg im Breisgau</w:t>
      </w:r>
    </w:p>
    <w:p>
      <w:pPr>
        <w:jc w:val="left"/>
      </w:pPr>
      <w:r>
        <w:t>Telefon: 0761 45098-0 | E-Mail: qm@saniscore.de</w:t>
      </w:r>
    </w:p>
    <w:p>
      <w:pPr>
        <w:jc w:val="left"/>
      </w:pPr>
      <w:r>
        <w:t>Dokument-ID: SS-TB-GEN-2026-03 | Version: 1.0 | Stand: 09.03.2026 | Prüfer: Dr. Jonas Kettler; Freigabe QM: Dr. Annika Sperling</w:t>
      </w:r>
    </w:p>
    <w:p>
      <w:pPr>
        <w:pStyle w:val="Heading2"/>
      </w:pPr>
      <w:r>
        <w:rPr>
          <w:rFonts w:ascii="Times New Roman" w:hAnsi="Times New Roman"/>
        </w:rPr>
        <w:t>1 Zweck</w:t>
      </w:r>
    </w:p>
    <w:p>
      <w:pPr>
        <w:jc w:val="left"/>
      </w:pPr>
      <w:r>
        <w:t>Dieser Bericht dokumentiert den Validierungslauf V-2026-03 zur Genauigkeit und Robustheit von TriageAssist 2.1 auf dem Validierungsdatensatz mit 140 Fällen (Aktenstück 06).</w:t>
      </w:r>
    </w:p>
    <w:p>
      <w:pPr>
        <w:pStyle w:val="Heading2"/>
      </w:pPr>
      <w:r>
        <w:rPr>
          <w:rFonts w:ascii="Times New Roman" w:hAnsi="Times New Roman"/>
        </w:rPr>
        <w:t>2 Vorgehen</w:t>
      </w:r>
    </w:p>
    <w:p>
      <w:pPr>
        <w:jc w:val="left"/>
      </w:pPr>
      <w:r>
        <w:t>Für jeden Fall liegt eine Referenzeinstufung (Goldstandard, konsentiert durch zwei Notfallmedizinerinnen und -mediziner) sowie die Systemeinstufung vor. Ausgewertet wurde die Sensitivität für kritische Fälle. Die Auswertung erfolgte gesamt und stratifiziert nach Altersgruppen.</w:t>
      </w:r>
    </w:p>
    <w:p>
      <w:pPr>
        <w:pStyle w:val="Heading2"/>
      </w:pPr>
      <w:r>
        <w:rPr>
          <w:rFonts w:ascii="Times New Roman" w:hAnsi="Times New Roman"/>
        </w:rPr>
        <w:t>3 Ergebnisse</w:t>
      </w:r>
    </w:p>
    <w:p>
      <w:pPr>
        <w:pStyle w:val="Heading3"/>
      </w:pPr>
      <w:r>
        <w:rPr>
          <w:rFonts w:ascii="Times New Roman" w:hAnsi="Times New Roman"/>
        </w:rPr>
        <w:t>3.1 Gesamt</w:t>
      </w:r>
    </w:p>
    <w:p>
      <w:pPr>
        <w:jc w:val="left"/>
      </w:pPr>
      <w:r>
        <w:t>Von 100 referenzkritischen Fällen wurden 94 als kritisch erkannt. Die Gesamtsensitivität beträgt 94 Prozent.</w:t>
      </w:r>
    </w:p>
    <w:p>
      <w:pPr>
        <w:pStyle w:val="Heading3"/>
      </w:pPr>
      <w:r>
        <w:rPr>
          <w:rFonts w:ascii="Times New Roman" w:hAnsi="Times New Roman"/>
        </w:rPr>
        <w:t>3.2 Stratifiziert nach Alter (vollständige Tabelle des Prüflaufs)</w:t>
      </w:r>
    </w:p>
    <w:p>
      <w:pPr>
        <w:jc w:val="left"/>
      </w:pPr>
      <w:r>
        <w:t>Die stratifizierte Auswertung des Prüflaufs ergab:</w:t>
      </w:r>
    </w:p>
    <w:p>
      <w:pPr>
        <w:pStyle w:val="ListBullet"/>
      </w:pPr>
      <w:r>
        <w:t>Altersgruppe unter 80 Jahren: 79 von 79 kritischen Fällen erkannt.</w:t>
      </w:r>
    </w:p>
    <w:p>
      <w:pPr>
        <w:pStyle w:val="ListBullet"/>
      </w:pPr>
      <w:r>
        <w:t>Altersgruppe ab 80 Jahren: 15 von 21 kritischen Fällen erkannt.</w:t>
      </w:r>
    </w:p>
    <w:p>
      <w:pPr>
        <w:jc w:val="left"/>
      </w:pPr>
      <w:r>
        <w:t>Diese stratifizierte Tabelle war Bestandteil des ursprünglichen Prüfprotokolls V-2026-03. In der zusammenfassenden technischen Dokumentation (Aktenstück 04) wurde ausschließlich der Gesamtwert übernommen.</w:t>
      </w:r>
    </w:p>
    <w:p>
      <w:pPr>
        <w:pStyle w:val="Heading2"/>
      </w:pPr>
      <w:r>
        <w:rPr>
          <w:rFonts w:ascii="Times New Roman" w:hAnsi="Times New Roman"/>
        </w:rPr>
        <w:t>4 Robustheit</w:t>
      </w:r>
    </w:p>
    <w:p>
      <w:pPr>
        <w:jc w:val="left"/>
      </w:pPr>
      <w:r>
        <w:t>Bei künstlich entfernten Einzelwerten (Blutdruck, Atemfrequenz) blieb die Gesamtsensitivität innerhalb eines Toleranzbandes von zwei Prozentpunkten. Eine gezielte Prüfung der Robustheit für die Altersgruppe ab 80 Jahren wurde nicht durchgeführt.</w:t>
      </w:r>
    </w:p>
    <w:p>
      <w:pPr>
        <w:pStyle w:val="Heading2"/>
      </w:pPr>
      <w:r>
        <w:rPr>
          <w:rFonts w:ascii="Times New Roman" w:hAnsi="Times New Roman"/>
        </w:rPr>
        <w:t>5 Anmerkung des Prüfers</w:t>
      </w:r>
    </w:p>
    <w:p>
      <w:pPr>
        <w:jc w:val="left"/>
      </w:pPr>
      <w:r>
        <w:t>Der Prüfer weist darauf hin, dass die stratifizierte Auswertung nach Abschnitt 3.2 einen erheblichen Leistungsunterschied zwischen den Altersgruppen zeigt und dass die geringe Fallzahl in der Gruppe ab 80 Jahren sowohl im Trainings- als auch im Validierungsdatensatz die Aussagekraft zusätzlich einschränkt. Eine Bewertung dieser Feststellung durch das Risikomanagement steht aus.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SaniScore Medizintechnik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SaniScore Medizintechnik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