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— EU-Konformitätserklärung</w:t>
      </w:r>
    </w:p>
    <w:p>
      <w:pPr>
        <w:jc w:val="left"/>
      </w:pPr>
      <w:r>
        <w:t>SaniScore Medizintechnik GmbH</w:t>
      </w:r>
    </w:p>
    <w:p>
      <w:pPr>
        <w:jc w:val="left"/>
      </w:pPr>
      <w:r>
        <w:t>Georges-Köhler-Allee 12, 79110 Freiburg im Breisgau</w:t>
      </w:r>
    </w:p>
    <w:p>
      <w:pPr>
        <w:jc w:val="left"/>
      </w:pPr>
      <w:r>
        <w:t>Telefon: 0761 45098-0 | E-Mail: regulatory@saniscore.de</w:t>
      </w:r>
    </w:p>
    <w:p>
      <w:pPr>
        <w:jc w:val="left"/>
      </w:pPr>
      <w:r>
        <w:t>Dokument-ID: SS-DoC-TA-2026-01 | Fassung: ENTWURF | Stand: 12.05.2026 | Erstellt: Dr. Annika Sperling</w:t>
      </w:r>
    </w:p>
    <w:p>
      <w:pPr>
        <w:jc w:val="left"/>
      </w:pPr>
      <w:r>
        <w:t>Hinweis: Es handelt sich um einen Entwurf vor Abschluss der Konformitätsbewertung durch die benannte Stelle. Die endgültige Erklärung darf erst nach positivem Abschluss ausgestellt werden.</w:t>
      </w:r>
    </w:p>
    <w:p>
      <w:pPr>
        <w:pStyle w:val="Heading2"/>
      </w:pPr>
      <w:r>
        <w:rPr>
          <w:rFonts w:ascii="Times New Roman" w:hAnsi="Times New Roman"/>
        </w:rPr>
        <w:t>1 Erklärung</w:t>
      </w:r>
    </w:p>
    <w:p>
      <w:pPr>
        <w:jc w:val="left"/>
      </w:pPr>
      <w:r>
        <w:t>Die SaniScore Medizintechnik GmbH erklärt als Herstellerin in alleiniger Verantwortung, dass das nachstehend bezeichnete Produkt den einschlägigen Anforderungen der Verordnung (EU) 2017/745 und der Verordnung (EU) 2024/1689 entspricht.</w:t>
      </w:r>
    </w:p>
    <w:p>
      <w:pPr>
        <w:pStyle w:val="Heading2"/>
      </w:pPr>
      <w:r>
        <w:rPr>
          <w:rFonts w:ascii="Times New Roman" w:hAnsi="Times New Roman"/>
        </w:rPr>
        <w:t>2 Produkt</w:t>
      </w:r>
    </w:p>
    <w:p>
      <w:pPr>
        <w:jc w:val="left"/>
      </w:pPr>
      <w:r>
        <w:t>Bezeichnung: TriageAssist. Version: 2.1. Verwendungszweck: unterstützende Ersteinschätzung der Behandlungsdringlichkeit erwachsener Patientinnen und Patienten in der Notaufnahme.</w:t>
      </w:r>
    </w:p>
    <w:p>
      <w:pPr>
        <w:pStyle w:val="Heading2"/>
      </w:pPr>
      <w:r>
        <w:rPr>
          <w:rFonts w:ascii="Times New Roman" w:hAnsi="Times New Roman"/>
        </w:rPr>
        <w:t>3 Erklärte Konformität mit den Anforderungen an Hochrisiko-KI-Systeme</w:t>
      </w:r>
    </w:p>
    <w:p>
      <w:pPr>
        <w:jc w:val="left"/>
      </w:pPr>
      <w:r>
        <w:t>Die Herstellerin erklärt, dass das Produkt sämtliche Anforderungen der Verordnung (EU) 2024/1689 an Hochrisiko-KI-Systeme erfüllt, insbesondere:</w:t>
      </w:r>
    </w:p>
    <w:p>
      <w:pPr>
        <w:pStyle w:val="Heading3"/>
      </w:pPr>
      <w:r>
        <w:rPr>
          <w:rFonts w:ascii="Times New Roman" w:hAnsi="Times New Roman"/>
        </w:rPr>
        <w:t>3.1 Risikomanagement</w:t>
      </w:r>
    </w:p>
    <w:p>
      <w:pPr>
        <w:jc w:val="left"/>
      </w:pPr>
      <w:r>
        <w:t>Ein Risikomanagementsystem ist eingerichtet; alle identifizierten Risiken sind auf ein akzeptables Restrisiko reduziert.</w:t>
      </w:r>
    </w:p>
    <w:p>
      <w:pPr>
        <w:pStyle w:val="Heading3"/>
      </w:pPr>
      <w:r>
        <w:rPr>
          <w:rFonts w:ascii="Times New Roman" w:hAnsi="Times New Roman"/>
        </w:rPr>
        <w:t>3.2 Daten und Daten-Governance</w:t>
      </w:r>
    </w:p>
    <w:p>
      <w:pPr>
        <w:jc w:val="left"/>
      </w:pPr>
      <w:r>
        <w:t>Die Trainings-, Validierungs- und Testdatensätze sind repräsentativ, ausgewogen und von hoher Qualität.</w:t>
      </w:r>
    </w:p>
    <w:p>
      <w:pPr>
        <w:pStyle w:val="Heading3"/>
      </w:pPr>
      <w:r>
        <w:rPr>
          <w:rFonts w:ascii="Times New Roman" w:hAnsi="Times New Roman"/>
        </w:rPr>
        <w:t>3.3 Genauigkeit, Robustheit, Cybersicherheit</w:t>
      </w:r>
    </w:p>
    <w:p>
      <w:pPr>
        <w:jc w:val="left"/>
      </w:pPr>
      <w:r>
        <w:t>Das Produkt erreicht eine Sensitivität von 94 Prozent für kritische Fälle bei über alle Patientengruppen gleichwertiger Leistung. Robustheit und Cybersicherheit sind nachgewiesen.</w:t>
      </w:r>
    </w:p>
    <w:p>
      <w:pPr>
        <w:pStyle w:val="Heading3"/>
      </w:pPr>
      <w:r>
        <w:rPr>
          <w:rFonts w:ascii="Times New Roman" w:hAnsi="Times New Roman"/>
        </w:rPr>
        <w:t>3.4 Menschliche Aufsicht</w:t>
      </w:r>
    </w:p>
    <w:p>
      <w:pPr>
        <w:jc w:val="left"/>
      </w:pPr>
      <w:r>
        <w:t>Eine wirksame menschliche Aufsicht ist implementiert; die verbindliche Letztentscheidung liegt beim Fachpersonal.</w:t>
      </w:r>
    </w:p>
    <w:p>
      <w:pPr>
        <w:pStyle w:val="Heading3"/>
      </w:pPr>
      <w:r>
        <w:rPr>
          <w:rFonts w:ascii="Times New Roman" w:hAnsi="Times New Roman"/>
        </w:rPr>
        <w:t>3.5 Protokollierung und Transparenz</w:t>
      </w:r>
    </w:p>
    <w:p>
      <w:pPr>
        <w:jc w:val="left"/>
      </w:pPr>
      <w:r>
        <w:t>Die Ereignisse werden protokolliert; die Betreiber erhalten alle erforderlichen Informationen.</w:t>
      </w:r>
    </w:p>
    <w:p>
      <w:pPr>
        <w:pStyle w:val="Heading2"/>
      </w:pPr>
      <w:r>
        <w:rPr>
          <w:rFonts w:ascii="Times New Roman" w:hAnsi="Times New Roman"/>
        </w:rPr>
        <w:t>4 Ort und Datum</w:t>
      </w:r>
    </w:p>
    <w:p>
      <w:pPr>
        <w:jc w:val="left"/>
      </w:pPr>
      <w:r>
        <w:t>Freiburg im Breisgau, [Datum bei Ausstellung].</w:t>
      </w:r>
    </w:p>
    <w:p>
      <w:pPr>
        <w:jc w:val="left"/>
      </w:pPr>
      <w:r>
        <w:t>Für die Herstellerin: [Unterschrift], Dr. med. Katharina Vollmer, Geschäftsführerin.</w:t>
      </w:r>
    </w:p>
    <w:p>
      <w:pPr>
        <w:pStyle w:val="Heading2"/>
      </w:pPr>
      <w:r>
        <w:rPr>
          <w:rFonts w:ascii="Times New Roman" w:hAnsi="Times New Roman"/>
        </w:rPr>
        <w:t>5 Interne Anmerkung zum Entwurf (nicht Teil der auszustellenden Erklärung)</w:t>
      </w:r>
    </w:p>
    <w:p>
      <w:pPr>
        <w:jc w:val="left"/>
      </w:pPr>
      <w:r>
        <w:t>Die Abschnitte 3.2 bis 3.4 sind mit den Aktenstücken 05 bis 09 abzugleichen. Insbesondere die Aussage „über alle Patientengruppen gleichwertige Leistung" (Abschnitt 3.3) sowie die Aussagen zur Daten-Governance, zur menschlichen Aufsicht und zur Protokollierung sind vor Ausstellung zu prüfen. Diese interne Anmerkung ist vor Freigabe zu entfernen.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SaniScore Medizintechnik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SaniScore Medizintechnik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