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Auditvermerk der benannten Stelle — Beanstandungen (Voraudit)</w:t>
      </w:r>
    </w:p>
    <w:p>
      <w:pPr>
        <w:jc w:val="left"/>
      </w:pPr>
      <w:r>
        <w:t>Prüf- und Zertifizierungsstelle für Medizinprodukte Süd GmbH (PZM Süd)</w:t>
      </w:r>
    </w:p>
    <w:p>
      <w:pPr>
        <w:jc w:val="left"/>
      </w:pPr>
      <w:r>
        <w:t>Benannte Stelle, Kennnummer NB 2971</w:t>
      </w:r>
    </w:p>
    <w:p>
      <w:pPr>
        <w:jc w:val="left"/>
      </w:pPr>
      <w:r>
        <w:t>Königstraße 58, 70173 Stuttgart</w:t>
      </w:r>
    </w:p>
    <w:p>
      <w:pPr>
        <w:jc w:val="left"/>
      </w:pPr>
      <w:r>
        <w:t>Telefon: 0711 21099-0 | E-Mail: mp-audit@pzm-sued.de</w:t>
      </w:r>
    </w:p>
    <w:p>
      <w:pPr>
        <w:jc w:val="left"/>
      </w:pPr>
      <w:r>
        <w:t>An die</w:t>
      </w:r>
    </w:p>
    <w:p>
      <w:pPr>
        <w:jc w:val="left"/>
      </w:pPr>
      <w:r>
        <w:t>SaniScore Medizintechnik GmbH</w:t>
      </w:r>
    </w:p>
    <w:p>
      <w:pPr>
        <w:jc w:val="left"/>
      </w:pPr>
      <w:r>
        <w:t>z. Hd. Frau Dr. Annika Sperling, Leitung Regulatory Affairs</w:t>
      </w:r>
    </w:p>
    <w:p>
      <w:pPr>
        <w:jc w:val="left"/>
      </w:pPr>
      <w:r>
        <w:t>Georges-Köhler-Allee 12, 79110 Freiburg im Breisgau</w:t>
      </w:r>
    </w:p>
    <w:p>
      <w:pPr>
        <w:jc w:val="left"/>
      </w:pPr>
      <w:r>
        <w:t>Vorgang: NB2971-2026-0188 | Auditorin: Dr. Ing. Marion Halbach | Stuttgart, 22.06.2026</w:t>
      </w:r>
    </w:p>
    <w:p>
      <w:pPr>
        <w:jc w:val="left"/>
      </w:pPr>
      <w:r>
        <w:t>Betreff: Voraudit TriageAssist 2.1 — Beanstandungsbericht; integriertes Verfahren MDR und KI-Verordnung [Normstand zu verifizieren]</w:t>
      </w:r>
    </w:p>
    <w:p>
      <w:pPr>
        <w:jc w:val="left"/>
      </w:pPr>
      <w:r>
        <w:t>Sehr geehrte Frau Dr. Sperling,</w:t>
      </w:r>
    </w:p>
    <w:p>
      <w:pPr>
        <w:pStyle w:val="Heading2"/>
      </w:pPr>
      <w:r>
        <w:rPr>
          <w:rFonts w:ascii="Times New Roman" w:hAnsi="Times New Roman"/>
        </w:rPr>
        <w:t>1 Gegenstand</w:t>
      </w:r>
    </w:p>
    <w:p>
      <w:pPr>
        <w:jc w:val="left"/>
      </w:pPr>
      <w:r>
        <w:t>im Voraudit haben wir die vorgelegte technische Dokumentation (Aktenstücke 01 bis 09) sowie den Entwurf der EU-Konformitätserklärung (Aktenstück 11) geprüft. Wir beanstanden folgende Punkte. Die Ausstellung einer positiven Bewertung ist bis zur Behebung ausgeschlossen.</w:t>
      </w:r>
    </w:p>
    <w:p>
      <w:pPr>
        <w:pStyle w:val="Heading2"/>
      </w:pPr>
      <w:r>
        <w:rPr>
          <w:rFonts w:ascii="Times New Roman" w:hAnsi="Times New Roman"/>
        </w:rPr>
        <w:t>2 Wesentliche Beanstandungen</w:t>
      </w:r>
    </w:p>
    <w:p>
      <w:pPr>
        <w:pStyle w:val="Heading3"/>
      </w:pPr>
      <w:r>
        <w:rPr>
          <w:rFonts w:ascii="Times New Roman" w:hAnsi="Times New Roman"/>
        </w:rPr>
        <w:t>2.1 Genauigkeit — unzutreffende Gesamtdarstellung (wesentlich)</w:t>
      </w:r>
    </w:p>
    <w:p>
      <w:pPr>
        <w:jc w:val="left"/>
      </w:pPr>
      <w:r>
        <w:t>Der Entwurf der EU-Konformitätserklärung (Abschnitt 3.3) erklärt eine „über alle Patientengruppen gleichwertige Leistung". Der Testbericht (Aktenstück 07, Abschnitt 3.2) und das Performance-Log (Aktenstück 06) belegen dagegen für die Altersgruppe ab 80 Jahren eine Sensitivität von 15 von 21 Fällen (rund 71 Prozent) gegenüber 100 Prozent in der Gruppe unter 80 Jahren. Der ausgewiesene Gesamtwert von 94 Prozent verdeckt diesen Unterschied. Die Angabe in der technischen Dokumentation (Aktenstück 04, Abschnitt 3.2), es lägen keine Subgruppenunterschiede über drei Prozentpunkte vor, ist unzutreffend.</w:t>
      </w:r>
    </w:p>
    <w:p>
      <w:pPr>
        <w:pStyle w:val="Heading3"/>
      </w:pPr>
      <w:r>
        <w:rPr>
          <w:rFonts w:ascii="Times New Roman" w:hAnsi="Times New Roman"/>
        </w:rPr>
        <w:t>2.2 Daten-Governance — fehlende Repräsentativität (wesentlich)</w:t>
      </w:r>
    </w:p>
    <w:p>
      <w:pPr>
        <w:jc w:val="left"/>
      </w:pPr>
      <w:r>
        <w:t>Aus der Datenübersicht (Aktenstück 05) ergibt sich, dass die Altersgruppe ab 80 Jahren im Trainingsdatensatz nur rund 4.6 Prozent (2105 von 45920 Datensätzen) ausmacht, obwohl sie zur bestimmungsgemäßen Patientengruppe gehört und in der Validierung mit über 21 Prozent vertreten ist. Ferner sind die Daten der Quelle K5 (Reha-Zentrum Titisee) mit einer dokumentierten Fehlerrate von 9.8 Prozent und aus einem Altsystem konvertierten Labels behaftet; bei Quelle K4 sind Altersfelder unvollständig. Die Bewertung der Daten als „repräsentativ und von hoher Qualität" ist nicht belegt.</w:t>
      </w:r>
    </w:p>
    <w:p>
      <w:pPr>
        <w:pStyle w:val="Heading3"/>
      </w:pPr>
      <w:r>
        <w:rPr>
          <w:rFonts w:ascii="Times New Roman" w:hAnsi="Times New Roman"/>
        </w:rPr>
        <w:t>2.3 Menschliche Aufsicht — unzureichend spezifiziert (wesentlich)</w:t>
      </w:r>
    </w:p>
    <w:p>
      <w:pPr>
        <w:jc w:val="left"/>
      </w:pPr>
      <w:r>
        <w:t>Das Konzept zur menschlichen Aufsicht (Aktenstück 09) enthält kein verbindliches Übersteuerungsverfahren, keine Qualifikations- und Schulungsvorgabe, keinen systemseitigen Hinweis auf Leistungsgrenzen und keine Aufzeichnung der Übersteuerungen. Die Erklärung in Abschnitt 3.4 des Entwurfs, es sei eine wirksame menschliche Aufsicht implementiert, ist damit nicht belegt.</w:t>
      </w:r>
    </w:p>
    <w:p>
      <w:pPr>
        <w:pStyle w:val="Heading3"/>
      </w:pPr>
      <w:r>
        <w:rPr>
          <w:rFonts w:ascii="Times New Roman" w:hAnsi="Times New Roman"/>
        </w:rPr>
        <w:t>2.4 Risikomanagement — unvollständig (wesentlich)</w:t>
      </w:r>
    </w:p>
    <w:p>
      <w:pPr>
        <w:jc w:val="left"/>
      </w:pPr>
      <w:r>
        <w:t>Der bekannte Hinweis der Modellentwicklung auf die schwache Datenlage für Hochbetagte (Aktenstück 03, Abschnitt 4; Aktenstück 04, Fußnote 7) wurde nicht als Risiko aufgenommen und nicht mit Maßnahmen versehen. Das Risikoregister ist insoweit unvollständig.</w:t>
      </w:r>
    </w:p>
    <w:p>
      <w:pPr>
        <w:pStyle w:val="Heading2"/>
      </w:pPr>
      <w:r>
        <w:rPr>
          <w:rFonts w:ascii="Times New Roman" w:hAnsi="Times New Roman"/>
        </w:rPr>
        <w:t>3 Weitere Beanstandungen (untergeordnet)</w:t>
      </w:r>
    </w:p>
    <w:p>
      <w:pPr>
        <w:jc w:val="left"/>
      </w:pPr>
      <w:r>
        <w:t>Der Penetrationstest und die Robustheitsprüfung gegen adversariale Eingaben stehen aus (Aktenstück 08). Übersteuerungen werden nicht protokolliert; eine Aufbewahrungsfrist für die Protokolle ist nicht festgelegt.</w:t>
      </w:r>
    </w:p>
    <w:p>
      <w:pPr>
        <w:pStyle w:val="Heading2"/>
      </w:pPr>
      <w:r>
        <w:rPr>
          <w:rFonts w:ascii="Times New Roman" w:hAnsi="Times New Roman"/>
        </w:rPr>
        <w:t>4 Ergebnis</w:t>
      </w:r>
    </w:p>
    <w:p>
      <w:pPr>
        <w:jc w:val="left"/>
      </w:pPr>
      <w:r>
        <w:t>Die vorgelegte technische Dokumentation stützt die im Entwurf der EU-Konformitätserklärung behauptete vollständige Konformität nicht. Wir bitten um einen Maßnahmenplan mit Fristen. Bis zur Behebung der wesentlichen Beanstandungen darf keine EU-Konformitätserklärung ausgestellt und das Produkt nicht in Verkehr gebracht werden.</w:t>
      </w:r>
    </w:p>
    <w:p>
      <w:pPr>
        <w:jc w:val="left"/>
      </w:pPr>
      <w:r>
        <w:t>Mit freundlichen Grüßen</w:t>
      </w:r>
    </w:p>
    <w:p>
      <w:pPr>
        <w:jc w:val="left"/>
      </w:pPr>
      <w:r>
        <w:t>Dr. Ing. Marion Halbach</w:t>
      </w:r>
    </w:p>
    <w:p>
      <w:pPr>
        <w:jc w:val="left"/>
      </w:pPr>
      <w:r>
        <w:t>Leitende Auditorin, PZM Süd GmbH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Medizinprodukte Süd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Medizinprodukte Süd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