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Anhörung zu beabsichtigten Maßnahmen im Verfahren KI-MÜ-2026/0147</w:t>
      </w:r>
    </w:p>
    <w:p>
      <w:pPr>
        <w:jc w:val="left"/>
      </w:pPr>
      <w:r>
        <w:rPr>
          <w:b/>
        </w:rPr>
        <w:t>Bundesnetzagentur für Elektrizität, Gas, Telekommunikation, Post und Eisenbahnen</w:t>
      </w:r>
    </w:p>
    <w:p>
      <w:pPr>
        <w:jc w:val="left"/>
      </w:pPr>
      <w:r>
        <w:t>Referat Marktüberwachung KI-Systeme</w:t>
      </w:r>
    </w:p>
    <w:p>
      <w:pPr>
        <w:jc w:val="left"/>
      </w:pPr>
      <w:r>
        <w:t>Tulpenfeld 4, 53113 Bonn</w:t>
      </w:r>
    </w:p>
    <w:p>
      <w:pPr>
        <w:jc w:val="left"/>
      </w:pPr>
      <w:r>
        <w:t>Telefon: 0228 14-0 | E-Mail: ki-marktueberwachung@bnetza.de</w:t>
      </w:r>
    </w:p>
    <w:p>
      <w:pPr>
        <w:jc w:val="left"/>
      </w:pPr>
      <w:r>
        <w:t>An die</w:t>
      </w:r>
    </w:p>
    <w:p>
      <w:pPr>
        <w:jc w:val="left"/>
      </w:pPr>
      <w:r>
        <w:t>SentiCore Analytics GmbH, Rödingsmarkt 22, 20459 Hamburg</w:t>
      </w:r>
    </w:p>
    <w:p>
      <w:pPr>
        <w:jc w:val="left"/>
      </w:pPr>
      <w:r>
        <w:t>und die</w:t>
      </w:r>
    </w:p>
    <w:p>
      <w:pPr>
        <w:jc w:val="left"/>
      </w:pPr>
      <w:r>
        <w:t>Telavena Dialog GmbH, Godesberger Allee 128, 53175 Bonn</w:t>
      </w:r>
    </w:p>
    <w:p>
      <w:pPr>
        <w:jc w:val="left"/>
      </w:pPr>
      <w:r>
        <w:t>Aktenzeichen: KI-MÜ-2026/0147 | Sachbearbeitung: RD'in Dr. Simone Vahrenkamp</w:t>
      </w:r>
    </w:p>
    <w:p>
      <w:pPr>
        <w:jc w:val="left"/>
      </w:pPr>
      <w:r>
        <w:t>Bonn, 08.05.2026</w:t>
      </w:r>
    </w:p>
    <w:p>
      <w:pPr>
        <w:jc w:val="left"/>
      </w:pPr>
      <w:r>
        <w:rPr>
          <w:b/>
        </w:rPr>
        <w:t>Betreff: Anhörung nach § 28 VwVfG zu beabsichtigter Untersagungsverfügung und Bußgeldfestsetzung — Frist zur Stellungnahme: 12.06.2026</w:t>
      </w:r>
    </w:p>
    <w:p>
      <w:pPr>
        <w:jc w:val="left"/>
      </w:pPr>
      <w:r>
        <w:t>Sehr geehrte Damen und Herren,</w:t>
      </w:r>
    </w:p>
    <w:p>
      <w:pPr>
        <w:jc w:val="left"/>
      </w:pPr>
      <w:r>
        <w:t xml:space="preserve">nach Auswertung Ihrer Stellungnahmen vom 27.03.2026 und 31.03.2026 sowie der vorgelegten Protokolle beabsichtigt die Bundesnetzagentur, gegenüber der Telavena Dialog GmbH die weitere Verwendung des KI-Systems „VoiceMood Sentinel" zur Ableitung von Emotionen der Beschäftigten zu untersagen sowie gegenüber der SentiCore Analytics GmbH und der Telavena Dialog GmbH Geldbußen festzusetzen. Vor einer Entscheidung erhalten Sie Gelegenheit zur Stellungnahme bis zum </w:t>
      </w:r>
      <w:r>
        <w:rPr>
          <w:b/>
        </w:rPr>
        <w:t>12.06.2026</w:t>
      </w:r>
      <w:r>
        <w:t>.</w:t>
      </w:r>
    </w:p>
    <w:p>
      <w:pPr>
        <w:jc w:val="left"/>
      </w:pPr>
      <w:r>
        <w:t>Die vorläufige Bewertung beruht auf folgenden Erwägungen: Das System leitet nach der eigenen Beschreibung der Anbieterin Emotionen und verwandte innere Zustände von Beschäftigten aus biometrischen Stimmdaten ab; es handelt sich damit dem Grunde nach um eine am Arbeitsplatz verbotene Praktik im Sinne der Verordnung (EU) 2024/1689 [Normstand zu verifizieren]. Die reklamierte Ausnahme für medizinische Zwecke und Sicherheitszwecke trägt nach vorläufiger Auswertung nicht. Maßgeblich ist insoweit nicht die Bezeichnung als „Wellbeing-Feature", sondern die tatsächliche Zweckrichtung des Einsatzes. Die vorgelegten Protokolle zeigen, dass die Alerts ganz überwiegend in Leistungs- und Personalmaßnahmen mündeten und Gesundheitsschutzmaßnahmen die seltene Ausnahme blieben; die genaue Quantifizierung bleibt der Auswertung der beigezogenen CSV-Protokolle vorbehalten, die Bestandteil der Akte sind. Ein betriebsärztlicher Prozess, den die eigene Produktdokumentation der Anbieterin für die gewählte Konfiguration „Team-Care" voraussetzt, bestand zu keinem Zeitpunkt. Die Vertriebspräsentation vom 18.06.2025 bewarb das System gegenüber der Betreiberin ausdrücklich als Instrument der „Performance-Steigerung durch Emotions-Monitoring" einschließlich der Verwendung von Emotionsprofilen „für die Personalakte"; sie steht in offenem Widerspruch zur Zweckbindung der Produktdokumentation.</w:t>
      </w:r>
    </w:p>
    <w:p>
      <w:pPr>
        <w:jc w:val="left"/>
      </w:pPr>
      <w:r>
        <w:t>Für die Verantwortungsverteilung gehen wir vorläufig davon aus, dass die Anbieterin die zweckwidrige Verwendung nicht nur ermöglicht, sondern durch ihre Vertriebskommunikation gezielt gefördert hat, und dass die Betreiberin das System entgegen der dokumentierten Zweckbindung eingesetzt hat, ohne die vorausgesetzten Schutzvorkehrungen zu schaffen. Zum Sanktionsrahmen weisen wir darauf hin, dass Verstöße gegen das Verbot bestimmter Praktiken nach der Verordnung (EU) 2024/1689 der höchsten Bußgeldkategorie unterliegen; die konkrete Zumessung wird die Kooperation beider Unternehmen, die zwischenzeitliche Weisung der Betreiberin vom 06.03.2026 und die parallele datenschutzrechtliche Prüfung der LDI NRW berücksichtigen [Normstand zu verifizieren].</w:t>
      </w:r>
    </w:p>
    <w:p>
      <w:pPr>
        <w:jc w:val="left"/>
      </w:pPr>
      <w:r>
        <w:t>Wir geben Ihnen anheim, sich innerhalb der Frist auch dazu zu äußern, ob eine Umstellung auf die Konfiguration „Self-Coaching" mit Löschung sämtlicher bestehender Emotionsprofile als milderes Mittel in Betracht kommt und wie die Rücknahme der auf Systemausgaben gestützten Personalmaßnahmen sichergestellt würde.</w:t>
      </w:r>
    </w:p>
    <w:p>
      <w:pPr>
        <w:jc w:val="left"/>
      </w:pPr>
      <w:r>
        <w:t>Mit freundlichen Grüßen</w:t>
      </w:r>
    </w:p>
    <w:p>
      <w:pPr>
        <w:jc w:val="left"/>
      </w:pPr>
      <w:r>
        <w:t>Im Auftrag</w:t>
      </w:r>
    </w:p>
    <w:p>
      <w:pPr>
        <w:jc w:val="left"/>
      </w:pPr>
      <w:r>
        <w:t>Dr. Vahrenkamp</w:t>
      </w:r>
    </w:p>
    <w:p>
      <w:pPr>
        <w:jc w:val="left"/>
      </w:pPr>
      <w:r>
        <w:t>Regierungsdirektorin</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Bundesnetzagentur für Elektrizität</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Bundesnetzagentur für Elektrizität</w:t>
    </w:r>
  </w:p>
  <w:p>
    <w:pPr>
      <w:jc w:val="left"/>
      <w:pBdr>
        <w:bottom w:val="single" w:sz="6" w:space="2" w:color="3B3F45"/>
      </w:pBdr>
    </w:pPr>
    <w:r>
      <w:rPr>
        <w:rFonts w:ascii="Times New Roman" w:hAnsi="Times New Roman"/>
        <w:color w:val="6B6B66"/>
        <w:sz w:val="16"/>
      </w:rPr>
      <w:t>Gas, Telekommunikation, Post und Eisenbahnen · Aktenzeichen: KI-MÜ-2026/0147 | Sachbearbeitung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