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Normstand-Vermerk — Rechtsgrundlagen des Verfahrens KI-MÜ-2026/0147</w:t>
      </w:r>
    </w:p>
    <w:p>
      <w:pPr>
        <w:jc w:val="left"/>
      </w:pPr>
      <w:r>
        <w:rPr>
          <w:b/>
        </w:rPr>
        <w:t>Bundesnetzagentur für Elektrizität, Gas, Telekommunikation, Post und Eisenbahnen</w:t>
      </w:r>
    </w:p>
    <w:p>
      <w:pPr>
        <w:jc w:val="left"/>
      </w:pPr>
      <w:r>
        <w:t>Referat Marktüberwachung KI-Systeme</w:t>
      </w:r>
    </w:p>
    <w:p>
      <w:pPr>
        <w:jc w:val="left"/>
      </w:pPr>
      <w:r>
        <w:t>Tulpenfeld 4, 53113 Bonn</w:t>
      </w:r>
    </w:p>
    <w:p>
      <w:pPr>
        <w:jc w:val="left"/>
      </w:pPr>
      <w:r>
        <w:t>Aktenzeichen: KI-MÜ-2026/0147 | Verfasserin: RD'in Dr. Simone Vahrenkamp</w:t>
      </w:r>
    </w:p>
    <w:p>
      <w:pPr>
        <w:jc w:val="left"/>
      </w:pPr>
      <w:r>
        <w:t>Datum: 10.06.2026 | Nur für den Dienstgebrauch; der Verfahrensakte vorzuheften</w:t>
      </w:r>
    </w:p>
    <w:p>
      <w:pPr>
        <w:jc w:val="left"/>
      </w:pPr>
      <w:r>
        <w:rPr>
          <w:i/>
        </w:rPr>
        <w:t>Exporthinweis: Endausgabe in Times New Roman, 11 pt, dezimale Gliederung.</w:t>
      </w:r>
    </w:p>
    <w:p>
      <w:pPr>
        <w:pStyle w:val="Heading2"/>
      </w:pPr>
      <w:r>
        <w:rPr>
          <w:rFonts w:ascii="Times New Roman" w:hAnsi="Times New Roman"/>
        </w:rPr>
        <w:t>1 Zweck</w:t>
      </w:r>
    </w:p>
    <w:p>
      <w:pPr>
        <w:jc w:val="left"/>
      </w:pPr>
      <w:r>
        <w:t>Dieser Vermerk dokumentiert, welche Fassung der Verordnung (EU) 2024/1689 („KI-Verordnung") den Bewertungen in diesem Verfahren zugrunde liegt, und ordnet die Verifikationspflichten vor Erlass belastender Entscheidungen an.</w:t>
      </w:r>
    </w:p>
    <w:p>
      <w:pPr>
        <w:pStyle w:val="Heading2"/>
      </w:pPr>
      <w:r>
        <w:rPr>
          <w:rFonts w:ascii="Times New Roman" w:hAnsi="Times New Roman"/>
        </w:rPr>
        <w:t>2 Zugrunde gelegte Fassung und tragende Strukturen</w:t>
      </w:r>
    </w:p>
    <w:p>
      <w:pPr>
        <w:jc w:val="left"/>
      </w:pPr>
      <w:r>
        <w:t>Zugrunde liegt die Verordnung (EU) 2024/1689 in der im Amtsblatt der Europäischen Union verkündeten Stammfassung, ausgewertet nach dem Kenntnisstand vom 10.06.2026. Tragend für dieses Verfahren sind allein folgende Grundstrukturen: das Verbot bestimmter Praktiken, darunter KI-Systeme zur Ableitung von Emotionen einer natürlichen Person am Arbeitsplatz, mit Ausnahme medizinischer Zwecke und Sicherheitszwecke; die Abgrenzung der Verantwortlichkeit von Anbietern und Betreibern; die Kooperations- und Auskunftspflichten gegenüber der Marktüberwachung; die Maßnahmenbefugnisse der Marktüberwachungsbehörde und der gestufte Sanktionsrahmen, in dem Verstöße gegen Praktiken-Verbote die höchste Bußgeldkategorie bilden. Die Verbotsvorschriften der Verordnung gelten seit dem 02.02.2025, der Sanktionsrahmen ist seit dem 02.08.2025 anwendbar; beide Daten sind vor Erlass der Verfügung nochmals amtlich zu bestätigen [Normstand zu verifizieren].</w:t>
      </w:r>
    </w:p>
    <w:p>
      <w:pPr>
        <w:pStyle w:val="Heading2"/>
      </w:pPr>
      <w:r>
        <w:rPr>
          <w:rFonts w:ascii="Times New Roman" w:hAnsi="Times New Roman"/>
        </w:rPr>
        <w:t>3 Omnibus-Vorbehalt</w:t>
      </w:r>
    </w:p>
    <w:p>
      <w:pPr>
        <w:jc w:val="left"/>
      </w:pPr>
      <w:r>
        <w:t xml:space="preserve">Die KI-Verordnung ist Gegenstand laufender Änderungsvorhaben der Union (Omnibus-Rechtsakte), die Artikelnummerierungen, Ausnahmetatbestände, Fristen und den Sanktionsrahmen berühren können. </w:t>
      </w:r>
      <w:r>
        <w:rPr>
          <w:b/>
        </w:rPr>
        <w:t>Vor Erlass der Untersagungsverfügung und der Bußgeldbescheide sind sämtliche in den Entscheidungsentwürfen zitierten Artikel-, Absatz- und Fristangaben sowie die Bußgeldobergrenzen anhand der konsolidierten Fassung auf EUR-Lex und der einschlägigen amtlichen Bekanntmachungen zu verifizieren.</w:t>
      </w:r>
      <w:r>
        <w:t xml:space="preserve"> Unsichere Angaben sind in Entwürfen mit „[Normstand zu verifizieren]" zu kennzeichnen; in der zuzustellenden Endfassung dürfen solche Kennzeichnungen nicht mehr enthalten sein, sondern sind durch verifizierte Angaben zu ersetzen.</w:t>
      </w:r>
    </w:p>
    <w:p>
      <w:pPr>
        <w:pStyle w:val="Heading2"/>
      </w:pPr>
      <w:r>
        <w:rPr>
          <w:rFonts w:ascii="Times New Roman" w:hAnsi="Times New Roman"/>
        </w:rPr>
        <w:t>4 Abgrenzung</w:t>
      </w:r>
    </w:p>
    <w:p>
      <w:pPr>
        <w:jc w:val="left"/>
      </w:pPr>
      <w:r>
        <w:t>Die nationale Zuständigkeitszuweisung an die Bundesnetzagentur als Marktüberwachungsbehörde für KI-Systeme beruht auf der einschlägigen nationalen Durchführungsgesetzgebung; deren Stand ist gleichfalls zu verifizieren [Normstand zu verifizieren]. Durchführungs- oder delegierte Rechtsakte der Kommission werden in diesem Verfahren nicht herangezogen; Leitlinien der Kommission zu den Praktiken-Verboten sind, soweit veröffentlicht, nachrichtlich zu berücksichtigen, tragen die Entscheidung aber nicht allein. Gerichtsentscheidungen werden nicht zitiert.</w:t>
      </w:r>
    </w:p>
    <w:p>
      <w:pPr>
        <w:pStyle w:val="Heading2"/>
      </w:pPr>
      <w:r>
        <w:rPr>
          <w:rFonts w:ascii="Times New Roman" w:hAnsi="Times New Roman"/>
        </w:rPr>
        <w:t>5 Geltung für die Aktenführung</w:t>
      </w:r>
    </w:p>
    <w:p>
      <w:pPr>
        <w:jc w:val="left"/>
      </w:pPr>
      <w:r>
        <w:t>Alle Aktenstücke dieses Verfahrens, die rechtliche Bewertungen enthalten, sind an diesem Vermerk zu messen. Bei Abweichungen zwischen einem früheren Aktenstück und dem verifizierten Normstand geht der verifizierte Normstand vor; das frühere Aktenstück ist bei nächster Bearbeitung anzupassen.</w:t>
      </w:r>
    </w:p>
    <w:p>
      <w:pPr>
        <w:jc w:val="left"/>
      </w:pPr>
      <w:r>
        <w:t>gez. Dr. Vahrenkamp</w:t>
      </w:r>
    </w:p>
    <w:p>
      <w:pPr>
        <w:jc w:val="left"/>
      </w:pPr>
      <w:r>
        <w:t>Regierungsdirektorin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Bundesnetzagentur für Elektrizität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Bundesnetzagentur für Elektrizität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Gas, Telekommunikation, Post und Eisenbahnen · Aktenzeichen: KI-MÜ-2026/0147 | Verfasserin: 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