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Entwurf — Untersagungsverfügung und Bußgeldfestsetzung im Verfahren KI-MÜ-2026/0147</w:t>
      </w:r>
    </w:p>
    <w:p>
      <w:pPr>
        <w:jc w:val="left"/>
      </w:pPr>
      <w:r>
        <w:rPr>
          <w:b/>
        </w:rPr>
        <w:t>Bundesnetzagentur für Elektrizität, Gas, Telekommunikation, Post und Eisenbahnen</w:t>
      </w:r>
    </w:p>
    <w:p>
      <w:pPr>
        <w:jc w:val="left"/>
      </w:pPr>
      <w:r>
        <w:t>Referat Marktüberwachung KI-Systeme</w:t>
      </w:r>
    </w:p>
    <w:p>
      <w:pPr>
        <w:jc w:val="left"/>
      </w:pPr>
      <w:r>
        <w:t>Tulpenfeld 4, 53113 Bonn</w:t>
      </w:r>
    </w:p>
    <w:p>
      <w:pPr>
        <w:jc w:val="left"/>
      </w:pPr>
      <w:r>
        <w:t xml:space="preserve">Aktenzeichen: KI-MÜ-2026/0147 | Stand: 15.06.2026 | </w:t>
      </w:r>
      <w:r>
        <w:rPr>
          <w:b/>
        </w:rPr>
        <w:t>ENTWURF — noch nicht zugestellt; Anhörungsfrist läuft bis 12.06.2026, verlängert bis 30.06.2026 für die SentiCore Analytics GmbH</w:t>
      </w:r>
    </w:p>
    <w:p>
      <w:pPr>
        <w:jc w:val="left"/>
      </w:pPr>
      <w:r>
        <w:rPr>
          <w:i/>
        </w:rPr>
        <w:t>Exporthinweis: Endausgabe in Times New Roman, 11 pt, dezimale Gliederung. Vor Zustellung sind alle mit [Normstand zu verifizieren] gekennzeichneten Angaben gemäß Normstand-Vermerk vom 10.06.2026 zu verifizieren und die Kennzeichnungen zu ersetzen.</w:t>
      </w:r>
    </w:p>
    <w:p>
      <w:pPr>
        <w:pStyle w:val="Heading2"/>
      </w:pPr>
      <w:r>
        <w:rPr>
          <w:rFonts w:ascii="Times New Roman" w:hAnsi="Times New Roman"/>
        </w:rPr>
        <w:t>1 Verfügender Teil (Entwurf)</w:t>
      </w:r>
    </w:p>
    <w:p>
      <w:pPr>
        <w:pStyle w:val="Heading3"/>
      </w:pPr>
      <w:r>
        <w:rPr>
          <w:rFonts w:ascii="Times New Roman" w:hAnsi="Times New Roman"/>
        </w:rPr>
        <w:t>1.1 Untersagung</w:t>
      </w:r>
    </w:p>
    <w:p>
      <w:pPr>
        <w:jc w:val="left"/>
      </w:pPr>
      <w:r>
        <w:t>Der Telavena Dialog GmbH, Godesberger Allee 128, 53175 Bonn, wird untersagt, das KI-System „VoiceMood Sentinel" (SentiCore Analytics GmbH, Version 2.4 oder Folgeversionen) zur Ableitung von Emotionen oder verwandten inneren Zuständen ihrer Beschäftigten zu verwenden. Die Untersagung umfasst jede Konfiguration, in der Systemausgaben über die betroffene Person hinaus zugänglich gemacht werden. Die Umsetzung ist der Bundesnetzagentur binnen zwei Wochen ab Zustellung nachzuweisen.</w:t>
      </w:r>
    </w:p>
    <w:p>
      <w:pPr>
        <w:pStyle w:val="Heading3"/>
      </w:pPr>
      <w:r>
        <w:rPr>
          <w:rFonts w:ascii="Times New Roman" w:hAnsi="Times New Roman"/>
        </w:rPr>
        <w:t>1.2 Folgenbeseitigung</w:t>
      </w:r>
    </w:p>
    <w:p>
      <w:pPr>
        <w:jc w:val="left"/>
      </w:pPr>
      <w:r>
        <w:t>Der Telavena Dialog GmbH wird aufgegeben, sämtliche aus dem System gewonnenen personenbezogenen Emotionsprofile und Auswertungen aus Personalunterlagen zu entfernen und zu löschen, soweit nicht gesetzliche Aufbewahrungspflichten oder die Rechtsverteidigung Betroffener entgegenstehen, und die Löschung binnen sechs Wochen zu dokumentieren.</w:t>
      </w:r>
    </w:p>
    <w:p>
      <w:pPr>
        <w:pStyle w:val="Heading3"/>
      </w:pPr>
      <w:r>
        <w:rPr>
          <w:rFonts w:ascii="Times New Roman" w:hAnsi="Times New Roman"/>
        </w:rPr>
        <w:t>1.3 Geldbußen</w:t>
      </w:r>
    </w:p>
    <w:p>
      <w:pPr>
        <w:jc w:val="left"/>
      </w:pPr>
      <w:r>
        <w:t>Gegen die SentiCore Analytics GmbH wird eine Geldbuße in Höhe von 420.000,00 EUR, gegen die Telavena Dialog GmbH eine Geldbuße in Höhe von 260.000,00 EUR festgesetzt. Rechtsgrundlage ist der Sanktionsrahmen der Verordnung (EU) 2024/1689 für Verstöße gegen die Praktiken-Verbote in Verbindung mit dem nationalen Durchführungsrecht [Normstand zu verifizieren].</w:t>
      </w:r>
    </w:p>
    <w:p>
      <w:pPr>
        <w:pStyle w:val="Heading3"/>
      </w:pPr>
      <w:r>
        <w:rPr>
          <w:rFonts w:ascii="Times New Roman" w:hAnsi="Times New Roman"/>
        </w:rPr>
        <w:t>1.4 Zwangsgeldandrohung</w:t>
      </w:r>
    </w:p>
    <w:p>
      <w:pPr>
        <w:jc w:val="left"/>
      </w:pPr>
      <w:r>
        <w:t>Für den Fall der Zuwiderhandlung gegen Ziffer 1.1 wird ein Zwangsgeld in Höhe von 50.000,00 EUR je angefangener Woche der Weiterverwendung angedroht.</w:t>
      </w:r>
    </w:p>
    <w:p>
      <w:pPr>
        <w:pStyle w:val="Heading2"/>
      </w:pPr>
      <w:r>
        <w:rPr>
          <w:rFonts w:ascii="Times New Roman" w:hAnsi="Times New Roman"/>
        </w:rPr>
        <w:t>2 Begründung (Entwurf, gekürzt)</w:t>
      </w:r>
    </w:p>
    <w:p>
      <w:pPr>
        <w:pStyle w:val="Heading3"/>
      </w:pPr>
      <w:r>
        <w:rPr>
          <w:rFonts w:ascii="Times New Roman" w:hAnsi="Times New Roman"/>
        </w:rPr>
        <w:t>2.1 Sachverhalt</w:t>
      </w:r>
    </w:p>
    <w:p>
      <w:pPr>
        <w:jc w:val="left"/>
      </w:pPr>
      <w:r>
        <w:t>Auf die Beschwerde vom 12.02.2026, die Stellungnahmen der Beteiligten vom 27.03.2026 und 31.03.2026, die Protokolle (Alert-Log; Maßnahmen-Aufstellung) sowie die Vertriebspräsentation vom 18.06.2025 wird Bezug genommen. Das System analysierte vom 01.10.2025 bis mindestens Ende Februar 2026 sämtliche Kundengespräche von 214 Beschäftigten in Echtzeit auf Emotionskategorien und stellte Alerts dem Dashboard der Teamleitungen zu.</w:t>
      </w:r>
    </w:p>
    <w:p>
      <w:pPr>
        <w:pStyle w:val="Heading3"/>
      </w:pPr>
      <w:r>
        <w:rPr>
          <w:rFonts w:ascii="Times New Roman" w:hAnsi="Times New Roman"/>
        </w:rPr>
        <w:t>2.2 Verbotene Praktik</w:t>
      </w:r>
    </w:p>
    <w:p>
      <w:pPr>
        <w:jc w:val="left"/>
      </w:pPr>
      <w:r>
        <w:t>Das System leitet Emotionen natürlicher Personen im Arbeitskontext aus biometrischen Stimmdaten ab. Dies erfüllt dem Grunde nach den Tatbestand der am Arbeitsplatz verbotenen Emotionserkennungspraktik der Verordnung (EU) 2024/1689 [Normstand zu verifizieren].</w:t>
      </w:r>
    </w:p>
    <w:p>
      <w:pPr>
        <w:pStyle w:val="Heading3"/>
      </w:pPr>
      <w:r>
        <w:rPr>
          <w:rFonts w:ascii="Times New Roman" w:hAnsi="Times New Roman"/>
        </w:rPr>
        <w:t>2.3 Keine tragfähige Ausnahme</w:t>
      </w:r>
    </w:p>
    <w:p>
      <w:pPr>
        <w:jc w:val="left"/>
      </w:pPr>
      <w:r>
        <w:t>Die Ausnahme für medizinische Zwecke und Sicherheitszwecke greift nicht. Maßgeblich ist die tatsächliche Zweckrichtung. Aus den beigezogenen Protokollen ergibt sich, dass die weit überwiegende Zahl der auf Alerts folgenden Maßnahmen Leistungs- und Personalcharakter hatte (Leistungsgespräche, Zielvereinbarungen, Schichtkürzungen, Abmahnungen), während gesundheitsschützende Maßnahmen nur einen geringfügigen Anteil ausmachten; die zahlenmäßige Auswertung der CSV-Protokolle ist der Verfügung als Anlage beizufügen [Auswertung durch Sachbearbeitung zu erstellen]. Ein betriebsärztlicher Prozess bestand unstreitig nicht. Die Berufung auf Gesundheitsschutz ist danach eine Etikettierung, die die tatsächliche Verwendung nicht trägt.</w:t>
      </w:r>
    </w:p>
    <w:p>
      <w:pPr>
        <w:pStyle w:val="Heading3"/>
      </w:pPr>
      <w:r>
        <w:rPr>
          <w:rFonts w:ascii="Times New Roman" w:hAnsi="Times New Roman"/>
        </w:rPr>
        <w:t>2.4 Verantwortlichkeit der Anbieterin</w:t>
      </w:r>
    </w:p>
    <w:p>
      <w:pPr>
        <w:jc w:val="left"/>
      </w:pPr>
      <w:r>
        <w:t>Die Anbieterin hat die zweckwidrige Verwendung durch ihre Vertriebskommunikation gezielt gefördert. Die Präsentation vom 18.06.2025 bewarb „Performance-Steigerung durch Emotions-Monitoring", Emotionsprofile „für die Personalakte" und empfahl die Teamleiter-Zustellung „für maximale Wirkung", während die Produktdokumentation gegenteilige Zweckbindungen enthält. Wer ein System mit einer Dokumentation ausliefert, die eine Verwendung untersagt, deren Herbeiführung zugleich Kern des eigenen Vertriebsversprechens ist, kann sich auf die Dokumentation nicht entlastend berufen.</w:t>
      </w:r>
    </w:p>
    <w:p>
      <w:pPr>
        <w:pStyle w:val="Heading3"/>
      </w:pPr>
      <w:r>
        <w:rPr>
          <w:rFonts w:ascii="Times New Roman" w:hAnsi="Times New Roman"/>
        </w:rPr>
        <w:t>2.5 Verantwortlichkeit der Betreiberin</w:t>
      </w:r>
    </w:p>
    <w:p>
      <w:pPr>
        <w:jc w:val="left"/>
      </w:pPr>
      <w:r>
        <w:t>Die Betreiberin hat das System in Kenntnis der Zweckbindung der Produktdokumentation für Personalmaßnahmen verwendet, die vorausgesetzten Schutzvorkehrungen (betriebsärztlicher Prozess, Verpflichtung der Teamleitungen) nicht geschaffen und die Beschäftigten mit der Bezeichnung „Wellbeing-Programm" über die tatsächliche Verwendung im Unklaren gelassen.</w:t>
      </w:r>
    </w:p>
    <w:p>
      <w:pPr>
        <w:pStyle w:val="Heading3"/>
      </w:pPr>
      <w:r>
        <w:rPr>
          <w:rFonts w:ascii="Times New Roman" w:hAnsi="Times New Roman"/>
        </w:rPr>
        <w:t>2.6 Zumessung</w:t>
      </w:r>
    </w:p>
    <w:p>
      <w:pPr>
        <w:jc w:val="left"/>
      </w:pPr>
      <w:r>
        <w:t>Bußgeldmindernd berücksichtigt sind die Kooperation beider Unternehmen, die Weisung der Betreiberin vom 06.03.2026 und die Aussetzung der Löschroutinen; erschwerend die Dauer des Verstoßes, die Zahl der Betroffenen und bei der Anbieterin der Widerspruch zwischen Dokumentation und Vertrieb. Die parallele Prüfung der LDI NRW wurde zur Vermeidung doppelter Ahndung desselben Unrechts berücksichtigt; die Abstimmung nach dem Koordinationsvermerk vom 14.04.2026 ist erfolgt.</w:t>
      </w:r>
    </w:p>
    <w:p>
      <w:pPr>
        <w:pStyle w:val="Heading2"/>
      </w:pPr>
      <w:r>
        <w:rPr>
          <w:rFonts w:ascii="Times New Roman" w:hAnsi="Times New Roman"/>
        </w:rPr>
        <w:t>3 Interner Bearbeitungshinweis</w:t>
      </w:r>
    </w:p>
    <w:p>
      <w:pPr>
        <w:jc w:val="left"/>
      </w:pPr>
      <w:r>
        <w:t>Vor Zustellung: Anhörungsergebnisse einarbeiten; CSV-Auswertung als Anlage 1 beifügen; Normstand-Verifikation nach Vermerk vom 10.06.2026 dokumentieren; Rechtsbehelfsbelehrung ergänzen.</w:t>
      </w:r>
    </w:p>
    <w:p>
      <w:pPr>
        <w:jc w:val="left"/>
      </w:pPr>
      <w:r>
        <w:t>gez. Dr. Vahrenkamp</w:t>
      </w:r>
    </w:p>
    <w:p>
      <w:pPr>
        <w:jc w:val="left"/>
      </w:pPr>
      <w:r>
        <w:t>Regierungsdirektorin</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Bundesnetzagentur für Elektrizität</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Bundesnetzagentur für Elektrizität</w:t>
    </w:r>
  </w:p>
  <w:p>
    <w:pPr>
      <w:jc w:val="left"/>
      <w:pBdr>
        <w:bottom w:val="single" w:sz="6" w:space="2" w:color="3B3F45"/>
      </w:pBdr>
    </w:pPr>
    <w:r>
      <w:rPr>
        <w:rFonts w:ascii="Times New Roman" w:hAnsi="Times New Roman"/>
        <w:color w:val="6B6B66"/>
        <w:sz w:val="16"/>
      </w:rPr>
      <w:t>Gas, Telekommunikation, Post und Eisenbahnen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