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Aktenstück: Quetschenpaua &amp; Kollegen Abmahnung — Analyse und Verteidigungsstrategie</w:t>
      </w:r>
    </w:p>
    <w:p>
      <w:pPr>
        <w:jc w:val="left"/>
      </w:pPr>
      <w:r>
        <w:rPr>
          <w:b/>
        </w:rPr>
        <w:t>AZ intern:</w:t>
      </w:r>
      <w:r>
        <w:t xml:space="preserve"> 26-UMR-0084 / Teilakte Filesharing</w:t>
      </w:r>
    </w:p>
    <w:p>
      <w:pPr>
        <w:jc w:val="left"/>
      </w:pPr>
      <w:r>
        <w:rPr>
          <w:b/>
        </w:rPr>
        <w:t>AZ AG München:</w:t>
      </w:r>
      <w:r>
        <w:t xml:space="preserve"> 155 C 18801/26</w:t>
      </w:r>
    </w:p>
    <w:p>
      <w:pPr>
        <w:jc w:val="left"/>
      </w:pPr>
      <w:r>
        <w:rPr>
          <w:b/>
        </w:rPr>
        <w:t>Datum Abmahnung:</w:t>
      </w:r>
      <w:r>
        <w:t xml:space="preserve"> 06.01.2026 (Eingang Briefkasten 09.01.2026)</w:t>
      </w:r>
    </w:p>
    <w:p>
      <w:pPr>
        <w:jc w:val="left"/>
      </w:pPr>
      <w:r>
        <w:rPr>
          <w:b/>
        </w:rPr>
        <w:t>Bearbeiterin:</w:t>
      </w:r>
      <w:r>
        <w:t xml:space="preserve"> Dr. Kreidler-Bremer</w:t>
      </w:r>
    </w:p>
    <w:p>
      <w:pPr>
        <w:jc w:val="left"/>
      </w:pPr>
      <w:r>
        <w:rPr>
          <w:b/>
        </w:rPr>
        <w:t>Stand:</w:t>
      </w:r>
      <w:r>
        <w:t xml:space="preserve"> 21.01.2026</w:t>
      </w:r>
    </w:p>
    <w:p/>
    <w:p>
      <w:pPr>
        <w:pStyle w:val="Heading2"/>
      </w:pPr>
      <w:r>
        <w:rPr>
          <w:rFonts w:ascii="Times New Roman" w:hAnsi="Times New Roman"/>
        </w:rPr>
        <w:t>I. Abmahnschreiben Quetschenpaua &amp; Kollegen — Zusammenfassung</w:t>
      </w:r>
    </w:p>
    <w:p>
      <w:pPr>
        <w:jc w:val="left"/>
      </w:pPr>
      <w:r>
        <w:rPr>
          <w:b/>
        </w:rPr>
        <w:t>Absender:</w:t>
      </w:r>
      <w:r>
        <w:t xml:space="preserve"> Quetschenpaua &amp; Kollegen Rechtsanwälte, Karl-Marx-Straße 41, 16816 Neuruppin</w:t>
      </w:r>
    </w:p>
    <w:p>
      <w:pPr>
        <w:jc w:val="left"/>
      </w:pPr>
      <w:r>
        <w:rPr>
          <w:b/>
        </w:rPr>
        <w:t>Mandanten:</w:t>
      </w:r>
      <w:r>
        <w:t xml:space="preserve"> [Name geschwärzt], vertreten durch Quetschenpaua &amp; Kollegen</w:t>
      </w:r>
    </w:p>
    <w:p>
      <w:pPr>
        <w:jc w:val="left"/>
      </w:pPr>
      <w:r>
        <w:rPr>
          <w:b/>
        </w:rPr>
        <w:t>Empfängerin:</w:t>
      </w:r>
      <w:r>
        <w:t xml:space="preserve"> Mira Windgassen, Frickestraße 29, 20251 Hamburg</w:t>
      </w:r>
    </w:p>
    <w:p>
      <w:pPr>
        <w:pStyle w:val="Heading3"/>
      </w:pPr>
      <w:r>
        <w:rPr>
          <w:rFonts w:ascii="Times New Roman" w:hAnsi="Times New Roman"/>
        </w:rPr>
        <w:t>Abgemahnte Handlungen:</w:t>
      </w:r>
    </w:p>
    <w:p>
      <w:pPr>
        <w:jc w:val="left"/>
      </w:pPr>
      <w:r>
        <w:t xml:space="preserve">Über IP-Adresse </w:t>
      </w:r>
      <w:r>
        <w:t>91.65.XXX.XXX</w:t>
      </w:r>
      <w:r>
        <w:t xml:space="preserve"> wurden laut Abmahnung am </w:t>
      </w:r>
      <w:r>
        <w:rPr>
          <w:b/>
        </w:rPr>
        <w:t>13.11.2025 zwischen 21:42:17 und 22:14:33 Uhr</w:t>
      </w:r>
      <w:r>
        <w:t xml:space="preserve"> folgende urheberrechtlich geschützten Werke über BitTorrent angeboten:</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Werk</w:t>
            </w:r>
          </w:p>
        </w:tc>
        <w:tc>
          <w:tcPr>
            <w:tcW w:type="dxa" w:w="2268"/>
          </w:tcPr>
          <w:p>
            <w:r>
              <w:rPr>
                <w:rFonts w:ascii="Times New Roman" w:hAnsi="Times New Roman"/>
                <w:b/>
                <w:sz w:val="20"/>
              </w:rPr>
              <w:t>Rechteinhaber</w:t>
            </w:r>
          </w:p>
        </w:tc>
        <w:tc>
          <w:tcPr>
            <w:tcW w:type="dxa" w:w="2268"/>
          </w:tcPr>
          <w:p>
            <w:r>
              <w:rPr>
                <w:rFonts w:ascii="Times New Roman" w:hAnsi="Times New Roman"/>
                <w:b/>
                <w:sz w:val="20"/>
              </w:rPr>
              <w:t>Zeitraum (aus Log)</w:t>
            </w:r>
          </w:p>
        </w:tc>
        <w:tc>
          <w:tcPr>
            <w:tcW w:type="dxa" w:w="2268"/>
          </w:tcPr>
          <w:p>
            <w:r>
              <w:rPr>
                <w:rFonts w:ascii="Times New Roman" w:hAnsi="Times New Roman"/>
                <w:b/>
                <w:sz w:val="20"/>
              </w:rPr>
              <w:t>Datei (Hash)</w:t>
            </w:r>
          </w:p>
        </w:tc>
      </w:tr>
      <w:tr>
        <w:tc>
          <w:tcPr>
            <w:tcW w:type="dxa" w:w="2268"/>
          </w:tcPr>
          <w:p>
            <w:r>
              <w:rPr>
                <w:rFonts w:ascii="Times New Roman" w:hAnsi="Times New Roman"/>
                <w:sz w:val="20"/>
              </w:rPr>
              <w:t>Oppenheimer (Nolan, 2023)</w:t>
            </w:r>
          </w:p>
        </w:tc>
        <w:tc>
          <w:tcPr>
            <w:tcW w:type="dxa" w:w="2268"/>
          </w:tcPr>
          <w:p>
            <w:r>
              <w:rPr>
                <w:rFonts w:ascii="Times New Roman" w:hAnsi="Times New Roman"/>
                <w:sz w:val="20"/>
              </w:rPr>
              <w:t>Universal Pictures International Germany GmbH</w:t>
            </w:r>
          </w:p>
        </w:tc>
        <w:tc>
          <w:tcPr>
            <w:tcW w:type="dxa" w:w="2268"/>
          </w:tcPr>
          <w:p>
            <w:r>
              <w:rPr>
                <w:rFonts w:ascii="Times New Roman" w:hAnsi="Times New Roman"/>
                <w:sz w:val="20"/>
              </w:rPr>
              <w:t>21:42:17–21:44:08</w:t>
            </w:r>
          </w:p>
        </w:tc>
        <w:tc>
          <w:tcPr>
            <w:tcW w:type="dxa" w:w="2268"/>
          </w:tcPr>
          <w:p>
            <w:r>
              <w:rPr>
                <w:rFonts w:ascii="Times New Roman" w:hAnsi="Times New Roman"/>
                <w:sz w:val="20"/>
              </w:rPr>
              <w:t>a3f8...</w:t>
            </w:r>
          </w:p>
        </w:tc>
      </w:tr>
      <w:tr>
        <w:tc>
          <w:tcPr>
            <w:tcW w:type="dxa" w:w="2268"/>
          </w:tcPr>
          <w:p>
            <w:r>
              <w:rPr>
                <w:rFonts w:ascii="Times New Roman" w:hAnsi="Times New Roman"/>
                <w:sz w:val="20"/>
              </w:rPr>
              <w:t>Barbie (Gerwig, 2023)</w:t>
            </w:r>
          </w:p>
        </w:tc>
        <w:tc>
          <w:tcPr>
            <w:tcW w:type="dxa" w:w="2268"/>
          </w:tcPr>
          <w:p>
            <w:r>
              <w:rPr>
                <w:rFonts w:ascii="Times New Roman" w:hAnsi="Times New Roman"/>
                <w:sz w:val="20"/>
              </w:rPr>
              <w:t>Warner Bros. Entertainment GmbH</w:t>
            </w:r>
          </w:p>
        </w:tc>
        <w:tc>
          <w:tcPr>
            <w:tcW w:type="dxa" w:w="2268"/>
          </w:tcPr>
          <w:p>
            <w:r>
              <w:rPr>
                <w:rFonts w:ascii="Times New Roman" w:hAnsi="Times New Roman"/>
                <w:sz w:val="20"/>
              </w:rPr>
              <w:t>21:52:44–21:56:19</w:t>
            </w:r>
          </w:p>
        </w:tc>
        <w:tc>
          <w:tcPr>
            <w:tcW w:type="dxa" w:w="2268"/>
          </w:tcPr>
          <w:p>
            <w:r>
              <w:rPr>
                <w:rFonts w:ascii="Times New Roman" w:hAnsi="Times New Roman"/>
                <w:sz w:val="20"/>
              </w:rPr>
              <w:t>b7d2...</w:t>
            </w:r>
          </w:p>
        </w:tc>
      </w:tr>
      <w:tr>
        <w:tc>
          <w:tcPr>
            <w:tcW w:type="dxa" w:w="2268"/>
          </w:tcPr>
          <w:p>
            <w:r>
              <w:rPr>
                <w:rFonts w:ascii="Times New Roman" w:hAnsi="Times New Roman"/>
                <w:sz w:val="20"/>
              </w:rPr>
              <w:t>Mission: Impossible — Dead Reckoning Part One</w:t>
            </w:r>
          </w:p>
        </w:tc>
        <w:tc>
          <w:tcPr>
            <w:tcW w:type="dxa" w:w="2268"/>
          </w:tcPr>
          <w:p>
            <w:r>
              <w:rPr>
                <w:rFonts w:ascii="Times New Roman" w:hAnsi="Times New Roman"/>
                <w:sz w:val="20"/>
              </w:rPr>
              <w:t>Paramount Pictures Germany GmbH</w:t>
            </w:r>
          </w:p>
        </w:tc>
        <w:tc>
          <w:tcPr>
            <w:tcW w:type="dxa" w:w="2268"/>
          </w:tcPr>
          <w:p>
            <w:r>
              <w:rPr>
                <w:rFonts w:ascii="Times New Roman" w:hAnsi="Times New Roman"/>
                <w:sz w:val="20"/>
              </w:rPr>
              <w:t>22:09:11–22:14:33</w:t>
            </w:r>
          </w:p>
        </w:tc>
        <w:tc>
          <w:tcPr>
            <w:tcW w:type="dxa" w:w="2268"/>
          </w:tcPr>
          <w:p>
            <w:r>
              <w:rPr>
                <w:rFonts w:ascii="Times New Roman" w:hAnsi="Times New Roman"/>
                <w:sz w:val="20"/>
              </w:rPr>
              <w:t>e9c1...</w:t>
            </w:r>
          </w:p>
        </w:tc>
      </w:tr>
    </w:tbl>
    <w:p>
      <w:pPr>
        <w:jc w:val="left"/>
      </w:pPr>
      <w:r>
        <w:rPr>
          <w:b/>
        </w:rPr>
        <w:t>Lizenzschadenersatz:</w:t>
      </w:r>
      <w:r>
        <w:t xml:space="preserve"> Je 250 EUR + 100 EUR (besondere Bekanntheit) = </w:t>
      </w:r>
      <w:r>
        <w:rPr>
          <w:b/>
        </w:rPr>
        <w:t>850 EUR gesamt</w:t>
      </w:r>
    </w:p>
    <w:p>
      <w:pPr>
        <w:jc w:val="left"/>
      </w:pPr>
      <w:r>
        <w:rPr>
          <w:b/>
        </w:rPr>
        <w:t>Abmahnkosten (RVG):</w:t>
      </w:r>
      <w:r>
        <w:t xml:space="preserve"> 1,3 Geschäftsgebühr nach Nr. 2300 VV-RVG, Streitwert 10.000 EUR = </w:t>
      </w:r>
      <w:r>
        <w:rPr>
          <w:b/>
        </w:rPr>
        <w:t>1.295 EUR</w:t>
      </w:r>
    </w:p>
    <w:p>
      <w:pPr>
        <w:jc w:val="left"/>
      </w:pPr>
      <w:r>
        <w:rPr>
          <w:b/>
        </w:rPr>
        <w:t>Gesamtforderung:</w:t>
      </w:r>
      <w:r>
        <w:t xml:space="preserve"> 2.145 EUR</w:t>
      </w:r>
    </w:p>
    <w:p>
      <w:pPr>
        <w:jc w:val="left"/>
      </w:pPr>
      <w:r>
        <w:rPr>
          <w:b/>
        </w:rPr>
        <w:t>Reaktionsfrist:</w:t>
      </w:r>
      <w:r>
        <w:t xml:space="preserve"> 30.01.2026</w:t>
      </w:r>
    </w:p>
    <w:p>
      <w:pPr>
        <w:jc w:val="left"/>
      </w:pPr>
      <w:r>
        <w:t>Quetschenpaua &amp; Kollegen fordert:</w:t>
      </w:r>
    </w:p>
    <w:p>
      <w:pPr>
        <w:pStyle w:val="ListNumber"/>
      </w:pPr>
      <w:r>
        <w:t>Unterzeichnung der beigefügten strafbewehrten Unterlassungserklärung (Vertragsstrafe 5.001 EUR je Verstoß)</w:t>
      </w:r>
    </w:p>
    <w:p>
      <w:pPr>
        <w:pStyle w:val="ListNumber"/>
      </w:pPr>
      <w:r>
        <w:t>Zahlung 2.145 EUR bis 30.01.2026</w:t>
      </w:r>
    </w:p>
    <w:p/>
    <w:p>
      <w:pPr>
        <w:pStyle w:val="Heading2"/>
      </w:pPr>
      <w:r>
        <w:rPr>
          <w:rFonts w:ascii="Times New Roman" w:hAnsi="Times New Roman"/>
        </w:rPr>
        <w:t>II. Rechtliche Bewertung</w:t>
      </w:r>
    </w:p>
    <w:p>
      <w:pPr>
        <w:pStyle w:val="Heading3"/>
      </w:pPr>
      <w:r>
        <w:rPr>
          <w:rFonts w:ascii="Times New Roman" w:hAnsi="Times New Roman"/>
        </w:rPr>
        <w:t>1. Aktivlegitimation / Lizenznachweis</w:t>
      </w:r>
    </w:p>
    <w:p>
      <w:pPr>
        <w:jc w:val="left"/>
      </w:pPr>
      <w:r>
        <w:t>Quetschenpaua &amp; Kollegen weist keine Lizenzkette nach. Die Vollmacht im Schreiben nennt lediglich „unsere Mandanten" ohne Namensnennung. Nach BGH-Rechtsprechung (BGH GRUR 2010, 628 — „Vorschaubilder II") muss der Abmahnende die Aktivlegitimation nachweisen. Anfrage an Quetschenpaua &amp; Kollegen: Vollmachtnachweis und Lizenznachweis der Rechteinhaber.</w:t>
      </w:r>
    </w:p>
    <w:p>
      <w:pPr>
        <w:jc w:val="left"/>
      </w:pPr>
      <w:r>
        <w:rPr>
          <w:b/>
        </w:rPr>
        <w:t>Ergebnis:</w:t>
      </w:r>
      <w:r>
        <w:t xml:space="preserve"> Abmahnung formal mangelhaft bzgl. Aktivlegitimationsnachweis. Nicht tragend, aber taktisch nutzbar.</w:t>
      </w:r>
    </w:p>
    <w:p>
      <w:pPr>
        <w:pStyle w:val="Heading3"/>
      </w:pPr>
      <w:r>
        <w:rPr>
          <w:rFonts w:ascii="Times New Roman" w:hAnsi="Times New Roman"/>
        </w:rPr>
        <w:t>2. Sekundäre Darlegungslast (BGH „Tauschbörsen III", NJW 2014, 2360)</w:t>
      </w:r>
    </w:p>
    <w:p>
      <w:pPr>
        <w:jc w:val="left"/>
      </w:pPr>
      <w:r>
        <w:t>Windgassen ist als Anschlussinhaberin grundsätzlich für das Filesharing über ihren Anschluss verantwortlich (</w:t>
      </w:r>
      <w:r>
        <w:rPr>
          <w:b/>
        </w:rPr>
        <w:t>Störerhaftung</w:t>
      </w:r>
      <w:r>
        <w:t xml:space="preserve">). Der BGH hat mit „Tauschbörsen I–III" die </w:t>
      </w:r>
      <w:r>
        <w:rPr>
          <w:b/>
        </w:rPr>
        <w:t>sekundäre Darlegungslast</w:t>
      </w:r>
      <w:r>
        <w:t xml:space="preserve"> präzisiert:</w:t>
      </w:r>
    </w:p>
    <w:p>
      <w:pPr>
        <w:pStyle w:val="ListBullet"/>
      </w:pPr>
      <w:r>
        <w:t>Als Anschlussinhaberin muss Windgassen zunächst alle ihr bekannten Umstände darlegen, die gegen ihre Täterschaft sprechen.</w:t>
      </w:r>
    </w:p>
    <w:p>
      <w:pPr>
        <w:pStyle w:val="ListBullet"/>
      </w:pPr>
      <w:r>
        <w:t xml:space="preserve">Sie muss die </w:t>
      </w:r>
      <w:r>
        <w:rPr>
          <w:b/>
        </w:rPr>
        <w:t>ernsthaft in Betracht kommenden Alternativen</w:t>
      </w:r>
      <w:r>
        <w:t xml:space="preserve"> benennen (hier: Sohn Felix, 14 Jahre).</w:t>
      </w:r>
    </w:p>
    <w:p>
      <w:pPr>
        <w:pStyle w:val="ListBullet"/>
      </w:pPr>
      <w:r>
        <w:t xml:space="preserve">Sie muss nachweisen, dass sie ihre </w:t>
      </w:r>
      <w:r>
        <w:rPr>
          <w:b/>
        </w:rPr>
        <w:t>Belehrungs- und Aufsichtspflichten</w:t>
      </w:r>
      <w:r>
        <w:t xml:space="preserve"> gegenüber Felix erfüllt hat.</w:t>
      </w:r>
    </w:p>
    <w:p>
      <w:pPr>
        <w:jc w:val="left"/>
      </w:pPr>
      <w:r>
        <w:rPr>
          <w:b/>
        </w:rPr>
        <w:t>Kritischer Punkt:</w:t>
      </w:r>
      <w:r>
        <w:t xml:space="preserve"> Felix ist 14 Jahre alt und somit </w:t>
      </w:r>
      <w:r>
        <w:rPr>
          <w:b/>
        </w:rPr>
        <w:t>beschränkt geschäftsfähig</w:t>
      </w:r>
      <w:r>
        <w:t xml:space="preserve"> (§ 106 BGB), aber für unerlaubte Handlungen eigenverantwortlich (§ 828 Abs. 3 BGB). Die elterliche </w:t>
      </w:r>
      <w:r>
        <w:rPr>
          <w:b/>
        </w:rPr>
        <w:t>Aufsichtspflicht nach § 832 BGB</w:t>
      </w:r>
      <w:r>
        <w:t xml:space="preserve"> ist nicht automatisch verletzt, wenn ein 14-Jähriger das Internet nutzt — entscheidend ist, ob eine anlassbezogene Belehrung stattgefunden hat.</w:t>
      </w:r>
    </w:p>
    <w:p>
      <w:pPr>
        <w:jc w:val="left"/>
      </w:pPr>
      <w:r>
        <w:rPr>
          <w:b/>
        </w:rPr>
        <w:t>BGH, Urteil vom 11.06.2015 — I ZR 7/14 (Tauschbörse III):</w:t>
      </w:r>
    </w:p>
    <w:p>
      <w:pPr>
        <w:ind w:left="567"/>
      </w:pPr>
      <w:r>
        <w:rPr>
          <w:i/>
        </w:rPr>
        <w:t>„Eltern genügen ihrer Aufsichtspflicht über ein normal entwickeltes 13-jähriges Kind, das ihre grundlegenden Gebote und Verbote befolgt, regelmäßig bereits dadurch, dass sie das Kind über die Rechtswidrigkeit einer Teilnahme an Internettauschbörsen belehren und ihm eine Teilnahme daran verbieten. Eine Verpflichtung der Eltern, die Nutzung des Internets durch ihr Kind zu überwachen, den Computer des Kindes zu kontrollieren oder dem Kind den Zugang zum Internet (teilweise) zu sperren, besteht grundsätzlich nicht."</w:t>
      </w:r>
    </w:p>
    <w:p>
      <w:pPr>
        <w:jc w:val="left"/>
      </w:pPr>
      <w:r>
        <w:rPr>
          <w:b/>
        </w:rPr>
        <w:t>Frage an Windgassen:</w:t>
      </w:r>
      <w:r>
        <w:t xml:space="preserve"> Hat sie Felix explizit über Filesharing-Verbote belehrt? (→ erörtern im Folgegespräch)</w:t>
      </w:r>
    </w:p>
    <w:p>
      <w:pPr>
        <w:pStyle w:val="Heading3"/>
      </w:pPr>
      <w:r>
        <w:rPr>
          <w:rFonts w:ascii="Times New Roman" w:hAnsi="Times New Roman"/>
        </w:rPr>
        <w:t>3. Schadensersatzhöhe</w:t>
      </w:r>
    </w:p>
    <w:p>
      <w:pPr>
        <w:jc w:val="left"/>
      </w:pPr>
      <w:r>
        <w:t>850 EUR Lizenzschadenersatz für drei Werke erscheint hoch, liegt aber in der Bandbreite der Hamburger und Münchner Rechtsprechung. Keine Primärverteidigung über die Höhe sinnvoll, wenn Täterschaft Felix unbestritten ist. Schadensersatzhöhe kann ggf. im Klageverfahren angegriffen werden.</w:t>
      </w:r>
    </w:p>
    <w:p>
      <w:pPr>
        <w:pStyle w:val="Heading3"/>
      </w:pPr>
      <w:r>
        <w:rPr>
          <w:rFonts w:ascii="Times New Roman" w:hAnsi="Times New Roman"/>
        </w:rPr>
        <w:t>4. Abmahnkosten</w:t>
      </w:r>
    </w:p>
    <w:p>
      <w:pPr>
        <w:jc w:val="left"/>
      </w:pPr>
      <w:r>
        <w:t>1.295 EUR entspricht einer 1,3-Gebühr bei einem Streitwert von 10.000 EUR für alle drei Werke zusammen. Der Streitwert 10.000 EUR ist plausibel (ca. 3.333 EUR je Werk, was der Hamburger Praxis entspricht). Die Abmahnkosten sind nach § 97a Abs. 3 UrhG auf 100 EUR begrenzt für nicht-gewerbliche Erstbegehungen — zu prüfen, ob eine solche Begrenzung hier greift.</w:t>
      </w:r>
    </w:p>
    <w:p>
      <w:pPr>
        <w:jc w:val="left"/>
      </w:pPr>
      <w:r>
        <w:rPr>
          <w:b/>
        </w:rPr>
        <w:t>BGH, Urteil vom 08.01.2014 — I ZR 169/12 (BearShare):</w:t>
      </w:r>
      <w:r>
        <w:t xml:space="preserve"> Keine Haftung des Anschlussinhabers für Familienangehörige als Täter, wenn der Anschlussinhaber seiner sekundären Darlegungslast genügt.</w:t>
      </w:r>
    </w:p>
    <w:p/>
    <w:p>
      <w:pPr>
        <w:pStyle w:val="Heading2"/>
      </w:pPr>
      <w:r>
        <w:rPr>
          <w:rFonts w:ascii="Times New Roman" w:hAnsi="Times New Roman"/>
        </w:rPr>
        <w:t>III. Strategie</w:t>
      </w:r>
    </w:p>
    <w:p>
      <w:pPr>
        <w:jc w:val="left"/>
      </w:pPr>
      <w:r>
        <w:rPr>
          <w:b/>
        </w:rPr>
        <w:t>Empfehlung:</w:t>
      </w:r>
      <w:r>
        <w:t xml:space="preserve"> Modifizierte strafbewehrte Unterlassungserklärung abgeben (kein Schuldanerkenntnis, keine Zahlungspflicht aus der Ü), Zahlung zurückweisen, Felix als alternative Täterschaft benennen, BGH „Tauschbörsen III" anführen.</w:t>
      </w:r>
    </w:p>
    <w:p>
      <w:pPr>
        <w:jc w:val="left"/>
      </w:pPr>
      <w:r>
        <w:rPr>
          <w:b/>
        </w:rPr>
        <w:t>Keine Zahlung</w:t>
      </w:r>
      <w:r>
        <w:t xml:space="preserve"> bis zur gerichtlichen Klärung, es sei denn Quetschenpaua &amp; Kollegen einigt sich auf signifikante Reduktion (Vergleich unter 600 EUR Gesamtbetrag wäre akzeptabel laut Mandantenaussage).</w:t>
      </w:r>
    </w:p>
    <w:p>
      <w:pPr>
        <w:jc w:val="left"/>
      </w:pPr>
      <w:r>
        <w:t xml:space="preserve">Negative Feststellungsklage vorbereiten (vgl. </w:t>
      </w:r>
      <w:r>
        <w:t>docx/NFK_Filesharing_Windgassen_Entwurf.docx</w:t>
      </w:r>
      <w:r>
        <w:t>).</w:t>
      </w:r>
    </w:p>
    <w:p/>
    <w:p>
      <w:pPr>
        <w:jc w:val="left"/>
      </w:pPr>
      <w:r>
        <w:rPr>
          <w:i/>
        </w:rPr>
        <w:t>Dr. AKB, 21.01.2026</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AZ AG</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8A6A1F"/>
        <w:sz w:val="24"/>
      </w:rPr>
      <w:t>AZ AG</w:t>
    </w:r>
  </w:p>
  <w:p>
    <w:pPr>
      <w:jc w:val="left"/>
      <w:pBdr>
        <w:bottom w:val="single" w:sz="6" w:space="2" w:color="8A6A1F"/>
      </w:pBdr>
    </w:pPr>
    <w:r>
      <w:rPr>
        <w:rFonts w:ascii="Times New Roman" w:hAnsi="Times New Roman"/>
        <w:color w:val="6B6B66"/>
        <w:sz w:val="16"/>
      </w:rPr>
      <w:t>Unternehmen · 155 C 18801/26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