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21 — Interne Mandantenpräsentation: KI-VO-Konformitätsbefunde MedAssist v4</w:t>
      </w:r>
    </w:p>
    <w:p>
      <w:pPr>
        <w:jc w:val="left"/>
      </w:pPr>
      <w:r>
        <w:rPr>
          <w:b/>
        </w:rPr>
        <w:t>Aktenzeichen:</w:t>
      </w:r>
      <w:r>
        <w:t xml:space="preserve"> 2026-V-0427</w:t>
      </w:r>
    </w:p>
    <w:p>
      <w:pPr>
        <w:jc w:val="left"/>
      </w:pPr>
      <w:r>
        <w:rPr>
          <w:b/>
        </w:rPr>
        <w:t>Erstellt:</w:t>
      </w:r>
      <w:r>
        <w:t xml:space="preserve"> 12.05.2026</w:t>
      </w:r>
    </w:p>
    <w:p>
      <w:pPr>
        <w:jc w:val="left"/>
      </w:pPr>
      <w:r>
        <w:rPr>
          <w:b/>
        </w:rPr>
        <w:t>Format:</w:t>
      </w:r>
      <w:r>
        <w:t xml:space="preserve"> Präsentationsnotizen für Vorstandssitzung MedAssist AI GmbH, 14.05.2026</w:t>
      </w:r>
    </w:p>
    <w:p>
      <w:pPr>
        <w:jc w:val="left"/>
      </w:pPr>
      <w:r>
        <w:rPr>
          <w:b/>
        </w:rPr>
        <w:t>Adressaten:</w:t>
      </w:r>
      <w:r>
        <w:t xml:space="preserve"> CEO Dr. Theresia Vogelkamp, CTO Aravind Krishnamurthy, CMO Dr. Lutz Federkamp</w:t>
      </w:r>
    </w:p>
    <w:p>
      <w:pPr>
        <w:jc w:val="left"/>
      </w:pPr>
      <w:r>
        <w:rPr>
          <w:b/>
        </w:rPr>
        <w:t>Präsentierende:</w:t>
      </w:r>
      <w:r>
        <w:t xml:space="preserve"> RAin Dr. Henrietta Vellbruck-Steinheim, RA Dr. Mark Roosendaal</w:t>
      </w:r>
    </w:p>
    <w:p>
      <w:pPr>
        <w:jc w:val="left"/>
      </w:pPr>
      <w:r>
        <w:rPr>
          <w:b/>
        </w:rPr>
        <w:t>Vertraulich</w:t>
      </w:r>
    </w:p>
    <w:p/>
    <w:p>
      <w:pPr>
        <w:pStyle w:val="Heading2"/>
      </w:pPr>
      <w:r>
        <w:rPr>
          <w:rFonts w:ascii="Times New Roman" w:hAnsi="Times New Roman"/>
        </w:rPr>
        <w:t>Folie 1 — Ausgangslage</w:t>
      </w:r>
    </w:p>
    <w:p>
      <w:pPr>
        <w:jc w:val="left"/>
      </w:pPr>
      <w:r>
        <w:rPr>
          <w:b/>
        </w:rPr>
        <w:t>Titel:</w:t>
      </w:r>
      <w:r>
        <w:t xml:space="preserve"> MedAssist v4: KI-VO-Konformitätsprüfung — Zwischenbilanz</w:t>
      </w:r>
    </w:p>
    <w:p>
      <w:pPr>
        <w:pStyle w:val="ListBullet"/>
      </w:pPr>
      <w:r>
        <w:t>Prüfungszeitraum: 03.03.2026 – 12.05.2026</w:t>
      </w:r>
    </w:p>
    <w:p>
      <w:pPr>
        <w:pStyle w:val="ListBullet"/>
      </w:pPr>
      <w:r>
        <w:t>Prüfumfang: Art. 6–49 KI-VO, MDR-Schnittstelle, GPAI-Komponente, behördliche Verfahren</w:t>
      </w:r>
    </w:p>
    <w:p>
      <w:pPr>
        <w:pStyle w:val="ListBullet"/>
      </w:pPr>
      <w:r>
        <w:t xml:space="preserve">Frist: </w:t>
      </w:r>
      <w:r>
        <w:rPr>
          <w:b/>
        </w:rPr>
        <w:t>02.08.2026</w:t>
      </w:r>
      <w:r>
        <w:t xml:space="preserve"> (Art. 113 Abs. 1 KI-VO) — 82 Tage verbleibend</w:t>
      </w:r>
    </w:p>
    <w:p>
      <w:pPr>
        <w:pStyle w:val="ListBullet"/>
      </w:pPr>
      <w:r>
        <w:t>Behördliche Verfahren: BNetzA (1-101.05-2026/MA-008), BfDI (13-3120/004#0117), BfArM (MED-AI-2026-0319)</w:t>
      </w:r>
    </w:p>
    <w:p/>
    <w:p>
      <w:pPr>
        <w:pStyle w:val="Heading2"/>
      </w:pPr>
      <w:r>
        <w:rPr>
          <w:rFonts w:ascii="Times New Roman" w:hAnsi="Times New Roman"/>
        </w:rPr>
        <w:t>Folie 2 — Auf einen Blick: Ampelstatus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Bereich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Sofortbedarf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Menschliche Aufsicht (Art. 14)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Rot — nicht konform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(Roll-out läuft)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Risikomanagementsystem (Art. 9)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Rot — nicht konform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Daten-Governance (Art. 10)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Rot — nicht konform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Technische Dokumentation (Art. 11)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Rot — nicht konform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Konformitätsbewertung (Art. 43)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Rot — nicht begonnen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Registrierung EU-DB (Art. 49)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Rot — nicht erfolgt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Abhängig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Aufzeichnungspflichten (Art. 12)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Gelb — Lücken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Teilweise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Transparenz (Art. 13)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Gelb — Lücken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Teilweise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Cybersicherheit (Art. 15)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Gelb — ISO abgelaufen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MDR-Koordination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Gelb — Abstimmung nötig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GPAI-Dokumentation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Gelb — Lücke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Folie 3 — Das gravierendste Defizit: Art. 14 (Menschliche Aufsicht)</w:t>
      </w:r>
    </w:p>
    <w:p>
      <w:pPr>
        <w:jc w:val="left"/>
      </w:pPr>
      <w:r>
        <w:rPr>
          <w:b/>
        </w:rPr>
        <w:t>Status:</w:t>
      </w:r>
      <w:r>
        <w:t xml:space="preserve"> In 14 von 18 Kliniken kein technisch erzwungener Quittierungsschritt.</w:t>
      </w:r>
    </w:p>
    <w:p>
      <w:pPr>
        <w:jc w:val="left"/>
      </w:pPr>
      <w:r>
        <w:rPr>
          <w:b/>
        </w:rPr>
        <w:t>Was das bedeutet:</w:t>
      </w:r>
    </w:p>
    <w:p>
      <w:pPr>
        <w:pStyle w:val="ListBullet"/>
      </w:pPr>
      <w:r>
        <w:t>MedAssist v4 steuert de facto die Notrufdisposition ohne dokumentierte menschliche Prüfung</w:t>
      </w:r>
    </w:p>
    <w:p>
      <w:pPr>
        <w:pStyle w:val="ListBullet"/>
      </w:pPr>
      <w:r>
        <w:t>False-Negative-Rate 8,8 % bei lebensbedrohlichen Notrufen (Dringlichkeit 1) wird nicht korrigiert</w:t>
      </w:r>
    </w:p>
    <w:p>
      <w:pPr>
        <w:pStyle w:val="ListBullet"/>
      </w:pPr>
      <w:r>
        <w:t>Jede 11. lebensbedrohliche Lage wird unterklassifiziert → Dispositionsverzögerung</w:t>
      </w:r>
    </w:p>
    <w:p>
      <w:pPr>
        <w:pStyle w:val="ListBullet"/>
      </w:pPr>
      <w:r>
        <w:t>Haftungsrisiko Anbieter: Produkthaftungsgesetz, § 823 BGB; Haftungsrisiko Vorstand: § 43 GmbHG</w:t>
      </w:r>
    </w:p>
    <w:p>
      <w:pPr>
        <w:jc w:val="left"/>
      </w:pPr>
      <w:r>
        <w:rPr>
          <w:b/>
        </w:rPr>
        <w:t>Was bereits eingeleitet ist:</w:t>
      </w:r>
    </w:p>
    <w:p>
      <w:pPr>
        <w:pStyle w:val="ListBullet"/>
      </w:pPr>
      <w:r>
        <w:t xml:space="preserve">Roll-out Quittierungsschritt auf alle 18 Kliniken: </w:t>
      </w:r>
      <w:r>
        <w:rPr>
          <w:b/>
        </w:rPr>
        <w:t>30.04.2026</w:t>
      </w:r>
      <w:r>
        <w:t xml:space="preserve"> ✓ (laut CTO: abgeschlossen)</w:t>
      </w:r>
    </w:p>
    <w:p>
      <w:pPr>
        <w:pStyle w:val="ListBullet"/>
      </w:pPr>
      <w:r>
        <w:t>Protokollierung Disponenten-ID läuft an</w:t>
      </w:r>
    </w:p>
    <w:p>
      <w:pPr>
        <w:jc w:val="left"/>
      </w:pPr>
      <w:r>
        <w:rPr>
          <w:b/>
        </w:rPr>
        <w:t>Nächster Schritt:</w:t>
      </w:r>
      <w:r>
        <w:t xml:space="preserve"> Schulungsprogramm Disponenten bis 31.05.2026.</w:t>
      </w:r>
    </w:p>
    <w:p/>
    <w:p>
      <w:pPr>
        <w:pStyle w:val="Heading2"/>
      </w:pPr>
      <w:r>
        <w:rPr>
          <w:rFonts w:ascii="Times New Roman" w:hAnsi="Times New Roman"/>
        </w:rPr>
        <w:t>Folie 4 — Behördliche Verfahren: Aktueller Stand</w:t>
      </w:r>
    </w:p>
    <w:p>
      <w:pPr>
        <w:pStyle w:val="Heading3"/>
      </w:pPr>
      <w:r>
        <w:rPr>
          <w:rFonts w:ascii="Times New Roman" w:hAnsi="Times New Roman"/>
        </w:rPr>
        <w:t>BNetzA (Az. 1-101.05-2026/MA-008)</w:t>
      </w:r>
    </w:p>
    <w:p>
      <w:pPr>
        <w:pStyle w:val="ListBullet"/>
      </w:pPr>
      <w:r>
        <w:t>Vor-Ort-Besichtigung Klinikum Mannheim-Süd: 12.05.2026 (heute!)</w:t>
      </w:r>
    </w:p>
    <w:p>
      <w:pPr>
        <w:pStyle w:val="ListBullet"/>
      </w:pPr>
      <w:r>
        <w:t>Ergebnis: BNetzA-Inspektor hat Quittierungsschritt (Beta) positiv vermerkt; weitere Unterlagen angefordert (Bias-Analyse, Schulungskonzept)</w:t>
      </w:r>
    </w:p>
    <w:p>
      <w:pPr>
        <w:pStyle w:val="ListBullet"/>
      </w:pPr>
      <w:r>
        <w:t>Bewertung: Kooperationsstrategie zeigt Wirkung; kein Sofortbescheid</w:t>
      </w:r>
    </w:p>
    <w:p>
      <w:pPr>
        <w:pStyle w:val="Heading3"/>
      </w:pPr>
      <w:r>
        <w:rPr>
          <w:rFonts w:ascii="Times New Roman" w:hAnsi="Times New Roman"/>
        </w:rPr>
        <w:t>BfDI (Az. 13-3120/004#0117)</w:t>
      </w:r>
    </w:p>
    <w:p>
      <w:pPr>
        <w:pStyle w:val="ListBullet"/>
      </w:pPr>
      <w:r>
        <w:t>DPIA an BfDI übermittelt: 01.05.2026 (fristgerecht)</w:t>
      </w:r>
    </w:p>
    <w:p>
      <w:pPr>
        <w:pStyle w:val="ListBullet"/>
      </w:pPr>
      <w:r>
        <w:t>BfDI hat 30-Tage-Prüffrist → Rückmeldung erwartet bis 01.06.2026</w:t>
      </w:r>
    </w:p>
    <w:p>
      <w:pPr>
        <w:pStyle w:val="ListBullet"/>
      </w:pPr>
      <w:r>
        <w:t>Inhalt DPIA: Systematische Verarbeitung Gesundheitsdaten, Bias-Risiken, Art. 22 DSGVO-Analyse, Abhilfemaßnahmen</w:t>
      </w:r>
    </w:p>
    <w:p>
      <w:pPr>
        <w:pStyle w:val="Heading3"/>
      </w:pPr>
      <w:r>
        <w:rPr>
          <w:rFonts w:ascii="Times New Roman" w:hAnsi="Times New Roman"/>
        </w:rPr>
        <w:t>BfArM (Az. MED-AI-2026-0319)</w:t>
      </w:r>
    </w:p>
    <w:p>
      <w:pPr>
        <w:pStyle w:val="ListBullet"/>
      </w:pPr>
      <w:r>
        <w:t>MDR-Konformität bestätigt; KI-VO ausdrücklich ausgeklammert</w:t>
      </w:r>
    </w:p>
    <w:p>
      <w:pPr>
        <w:pStyle w:val="ListBullet"/>
      </w:pPr>
      <w:r>
        <w:t>Koordination für gemeinsame Prüfung mit TÜV SÜD läuft</w:t>
      </w:r>
    </w:p>
    <w:p>
      <w:pPr>
        <w:pStyle w:val="Heading3"/>
      </w:pPr>
      <w:r>
        <w:rPr>
          <w:rFonts w:ascii="Times New Roman" w:hAnsi="Times New Roman"/>
        </w:rPr>
        <w:t>Wettbewerberbeschwerde DiagnoFlow / DG CONNECT</w:t>
      </w:r>
    </w:p>
    <w:p>
      <w:pPr>
        <w:pStyle w:val="ListBullet"/>
      </w:pPr>
      <w:r>
        <w:t>DG CONNECT hat Beschwerde an BNetzA weitergeleitet (Standardverfahren)</w:t>
      </w:r>
    </w:p>
    <w:p>
      <w:pPr>
        <w:pStyle w:val="ListBullet"/>
      </w:pPr>
      <w:r>
        <w:t>Kein direktes DG-CONNECT-Verfahren zu erwarten</w:t>
      </w:r>
    </w:p>
    <w:p>
      <w:pPr>
        <w:pStyle w:val="ListBullet"/>
      </w:pPr>
      <w:r>
        <w:t>BNetzA-Verfahren deckt Beschwerde ab</w:t>
      </w:r>
    </w:p>
    <w:p/>
    <w:p>
      <w:pPr>
        <w:pStyle w:val="Heading2"/>
      </w:pPr>
      <w:r>
        <w:rPr>
          <w:rFonts w:ascii="Times New Roman" w:hAnsi="Times New Roman"/>
        </w:rPr>
        <w:t>Folie 5 — Kritischer Pfad bis 02.08.2026</w:t>
      </w:r>
    </w:p>
    <w:p>
      <w:pPr>
        <w:jc w:val="left"/>
      </w:pPr>
      <w:r>
        <w:rPr>
          <w:b/>
        </w:rPr>
        <w:t>Muss bis Frist zwingend fertig sein:</w:t>
      </w:r>
    </w:p>
    <w:p>
      <w:pPr>
        <w:pStyle w:val="ListNumber"/>
      </w:pPr>
      <w:r>
        <w:t xml:space="preserve">Vollständige technische Dokumentation → </w:t>
      </w:r>
      <w:r>
        <w:rPr>
          <w:b/>
        </w:rPr>
        <w:t>01.06.2026</w:t>
      </w:r>
    </w:p>
    <w:p>
      <w:pPr>
        <w:pStyle w:val="ListNumber"/>
      </w:pPr>
      <w:r>
        <w:t xml:space="preserve">QMS nach Art. 17 KI-VO → </w:t>
      </w:r>
      <w:r>
        <w:rPr>
          <w:b/>
        </w:rPr>
        <w:t>01.06.2026</w:t>
      </w:r>
    </w:p>
    <w:p>
      <w:pPr>
        <w:pStyle w:val="ListNumber"/>
      </w:pPr>
      <w:r>
        <w:t xml:space="preserve">TÜV SÜD beauftragen → </w:t>
      </w:r>
      <w:r>
        <w:rPr>
          <w:b/>
        </w:rPr>
        <w:t>15.05.2026</w:t>
      </w:r>
      <w:r>
        <w:t xml:space="preserve"> (noch ausstehend!)</w:t>
      </w:r>
    </w:p>
    <w:p>
      <w:pPr>
        <w:pStyle w:val="ListNumber"/>
      </w:pPr>
      <w:r>
        <w:t xml:space="preserve">NB-Zertifikat TÜV SÜD → </w:t>
      </w:r>
      <w:r>
        <w:rPr>
          <w:b/>
        </w:rPr>
        <w:t>Mitte Juli 2026</w:t>
      </w:r>
    </w:p>
    <w:p>
      <w:pPr>
        <w:pStyle w:val="ListNumber"/>
      </w:pPr>
      <w:r>
        <w:t xml:space="preserve">EU-Konformitätserklärung → </w:t>
      </w:r>
      <w:r>
        <w:rPr>
          <w:b/>
        </w:rPr>
        <w:t>20.07.2026</w:t>
      </w:r>
    </w:p>
    <w:p>
      <w:pPr>
        <w:pStyle w:val="ListNumber"/>
      </w:pPr>
      <w:r>
        <w:t xml:space="preserve">CE-Kennzeichnung KI-VO → </w:t>
      </w:r>
      <w:r>
        <w:rPr>
          <w:b/>
        </w:rPr>
        <w:t>25.07.2026</w:t>
      </w:r>
    </w:p>
    <w:p>
      <w:pPr>
        <w:pStyle w:val="ListNumber"/>
      </w:pPr>
      <w:r>
        <w:t xml:space="preserve">EU-Datenbank-Registrierung (EUID) → </w:t>
      </w:r>
      <w:r>
        <w:rPr>
          <w:b/>
        </w:rPr>
        <w:t>30.07.2026</w:t>
      </w:r>
    </w:p>
    <w:p>
      <w:pPr>
        <w:jc w:val="left"/>
      </w:pPr>
      <w:r>
        <w:rPr>
          <w:b/>
        </w:rPr>
        <w:t>Engpass:</w:t>
      </w:r>
      <w:r>
        <w:t xml:space="preserve"> TÜV SÜD muss sofort beauftragt werden. Jede Woche Verzögerung gefährdet die Frist.</w:t>
      </w:r>
    </w:p>
    <w:p/>
    <w:p>
      <w:pPr>
        <w:pStyle w:val="Heading2"/>
      </w:pPr>
      <w:r>
        <w:rPr>
          <w:rFonts w:ascii="Times New Roman" w:hAnsi="Times New Roman"/>
        </w:rPr>
        <w:t>Folie 6 — Empfehlung an den Vorstand</w:t>
      </w:r>
    </w:p>
    <w:p>
      <w:pPr>
        <w:pStyle w:val="ListNumber"/>
      </w:pPr>
      <w:r>
        <w:rPr>
          <w:b/>
        </w:rPr>
        <w:t>Sofort (diese Woche):</w:t>
      </w:r>
      <w:r>
        <w:t xml:space="preserve"> CTO Krishnamurthy beauftragt TÜV SÜD schriftlich mit KI-VO-Konformitätsbewertung.</w:t>
      </w:r>
    </w:p>
    <w:p>
      <w:pPr>
        <w:pStyle w:val="ListNumber"/>
      </w:pPr>
      <w:r>
        <w:rPr>
          <w:b/>
        </w:rPr>
        <w:t>Bis 31.05.2026:</w:t>
      </w:r>
      <w:r>
        <w:t xml:space="preserve"> Disponenten-Schulung in allen 18 Kliniken abgeschlossen.</w:t>
      </w:r>
    </w:p>
    <w:p>
      <w:pPr>
        <w:pStyle w:val="ListNumber"/>
      </w:pPr>
      <w:r>
        <w:rPr>
          <w:b/>
        </w:rPr>
        <w:t>Bis 01.06.2026:</w:t>
      </w:r>
      <w:r>
        <w:t xml:space="preserve"> Vollständige technische Dokumentation an TÜV SÜD.</w:t>
      </w:r>
    </w:p>
    <w:p>
      <w:pPr>
        <w:pStyle w:val="ListNumber"/>
      </w:pPr>
      <w:r>
        <w:rPr>
          <w:b/>
        </w:rPr>
        <w:t>D&amp;O-Versicherung:</w:t>
      </w:r>
      <w:r>
        <w:t xml:space="preserve"> CEO Dr. Vogelkamp nimmt Verhandlungen mit Allianz SE auf, gestützt auf Handlungsplan und Fortschrittsnachweis.</w:t>
      </w:r>
    </w:p>
    <w:p>
      <w:pPr>
        <w:pStyle w:val="ListNumber"/>
      </w:pPr>
      <w:r>
        <w:rPr>
          <w:b/>
        </w:rPr>
        <w:t>CMO Dr. Federkamp:</w:t>
      </w:r>
      <w:r>
        <w:t xml:space="preserve"> Einbindung der Kliniken als Betreiber in den Konformitätsprozess — Betreiberverträge anpassen (Art. 25 KI-VO).</w:t>
      </w:r>
    </w:p>
    <w:p/>
    <w:p>
      <w:pPr>
        <w:pStyle w:val="Heading2"/>
      </w:pPr>
      <w:r>
        <w:rPr>
          <w:rFonts w:ascii="Times New Roman" w:hAnsi="Times New Roman"/>
        </w:rPr>
        <w:t>Folie 7 — Risikoszenario: Was passiert bei Fristüberschreitung?</w:t>
      </w:r>
    </w:p>
    <w:p>
      <w:pPr>
        <w:pStyle w:val="ListBullet"/>
      </w:pPr>
      <w:r>
        <w:t xml:space="preserve">Bußgeld BNetzA: Bis </w:t>
      </w:r>
      <w:r>
        <w:rPr>
          <w:b/>
        </w:rPr>
        <w:t>15 Mio. EUR</w:t>
      </w:r>
      <w:r>
        <w:t xml:space="preserve"> (Art. 99 Abs. 3 KI-VO) für nicht-konforme Hochrisiko-KI</w:t>
      </w:r>
    </w:p>
    <w:p>
      <w:pPr>
        <w:pStyle w:val="ListBullet"/>
      </w:pPr>
      <w:r>
        <w:t xml:space="preserve">Vorläufige Maßnahme BNetzA: </w:t>
      </w:r>
      <w:r>
        <w:rPr>
          <w:b/>
        </w:rPr>
        <w:t>Betriebsuntersagung</w:t>
      </w:r>
      <w:r>
        <w:t xml:space="preserve"> MedAssist v4 in allen 18 Kliniken möglich (Art. 79 KI-VO)</w:t>
      </w:r>
    </w:p>
    <w:p>
      <w:pPr>
        <w:pStyle w:val="ListBullet"/>
      </w:pPr>
      <w:r>
        <w:t>Persönliche Haftung Vorstand: § 43 GmbHG — ohne D&amp;O-Schutz erhebliches persönliches Risiko</w:t>
      </w:r>
    </w:p>
    <w:p>
      <w:pPr>
        <w:pStyle w:val="ListBullet"/>
      </w:pPr>
      <w:r>
        <w:t>Reputationsschaden: DiagnoFlow-Beschwerde + Medienberichterstattung (Ärzte Zeitung 22.02.2026 bereits berichtet)</w:t>
      </w:r>
    </w:p>
    <w:p>
      <w:pPr>
        <w:pStyle w:val="ListBullet"/>
      </w:pPr>
      <w:r>
        <w:t>Vertragsrisiko Kliniken: 18 Betreiberverträge könnten bei BNetzA-Betriebsuntersagung unter Rücktrittsrecht stehen</w:t>
      </w:r>
    </w:p>
    <w:p/>
    <w:p>
      <w:pPr>
        <w:jc w:val="left"/>
      </w:pPr>
      <w:r>
        <w:rPr>
          <w:i/>
        </w:rPr>
        <w:t>Heidelberg, 12.05.2026 — Vellbruck &amp; Partner mbB — Az. 2026-V-0427</w:t>
      </w:r>
    </w:p>
    <w:p>
      <w:pPr>
        <w:jc w:val="left"/>
      </w:pPr>
      <w:r>
        <w:rPr>
          <w:i/>
        </w:rPr>
        <w:t>Vertraulich — nur für die Empfänger bestimmt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Vorstandssitzung MedAssist AI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Vorstandssitzung MedAssist AI GmbH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14.05.2026 · Aktenzeichen: 2026-V-0427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