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Konformitätsvermerk (Entwurf)</w:t>
      </w:r>
    </w:p>
    <w:p>
      <w:pPr>
        <w:jc w:val="left"/>
      </w:pPr>
      <w:r>
        <w:t>Anbieter: BewerberPilot Score GmbH, Köln</w:t>
      </w:r>
    </w:p>
    <w:p>
      <w:pPr>
        <w:jc w:val="left"/>
      </w:pPr>
      <w:r>
        <w:t>System: BewerberPilot TalentRank 2.4</w:t>
      </w:r>
    </w:p>
    <w:p>
      <w:pPr>
        <w:jc w:val="left"/>
      </w:pPr>
      <w:r>
        <w:t>Datum: 28.05.2026</w:t>
      </w:r>
    </w:p>
    <w:p>
      <w:pPr>
        <w:pStyle w:val="Heading2"/>
      </w:pPr>
      <w:r>
        <w:rPr>
          <w:rFonts w:ascii="Times New Roman" w:hAnsi="Times New Roman"/>
        </w:rPr>
        <w:t>1. Gegenstand</w:t>
      </w:r>
    </w:p>
    <w:p>
      <w:pPr>
        <w:jc w:val="left"/>
      </w:pPr>
      <w:r>
        <w:t>Die BewerberPilot Score GmbH bestätigt im Entwurf, dass für das KI-System BewerberPilot TalentRank 2.4 eine KI-VO-Konformitätsprüfung begonnen und strukturiert dokumentiert wurde. Das System unterstützt Recruitingteams bei der Sichtung und Priorisierung von Bewerbungen.</w:t>
      </w:r>
    </w:p>
    <w:p>
      <w:pPr>
        <w:pStyle w:val="Heading2"/>
      </w:pPr>
      <w:r>
        <w:rPr>
          <w:rFonts w:ascii="Times New Roman" w:hAnsi="Times New Roman"/>
        </w:rPr>
        <w:t>2. Einstufung</w:t>
      </w:r>
    </w:p>
    <w:p>
      <w:pPr>
        <w:jc w:val="left"/>
      </w:pPr>
      <w:r>
        <w:t>TalentRank 2.4 ist ein KI-System im Sinne von Art. 3 Nr. 1 der Verordnung (EU) 2024/1689. Aufgrund der Zweckbestimmung im Recruiting wird es als Hochrisiko-KI nach Art. 6 Abs. 2 i.V.m. Anhang III Beschäftigung/Arbeitnehmermanagement eingeordnet.</w:t>
      </w:r>
    </w:p>
    <w:p>
      <w:pPr>
        <w:pStyle w:val="Heading2"/>
      </w:pPr>
      <w:r>
        <w:rPr>
          <w:rFonts w:ascii="Times New Roman" w:hAnsi="Times New Roman"/>
        </w:rPr>
        <w:t>3. Prüfstand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9 Risikomanagement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eingerichtet, mehrere Maßnahmen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10 Daten-Governance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teilweise belegt, Trainingsdatenherkunft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11/Anhang IV Technische 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Index vorhanden, Inhalte teilweise Entwurf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12 Logging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weitgehend umgesetzt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13 Transparenz/Gebrauchsanweisung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14 Menschliche Aufsicht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Konzept vorhanden, Praxistest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15 Genauigkeit/Robustheit/Cybersicherheit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RC2-Testbericht vorhanden, finale Freigabe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43 Konformitätsbewertung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Bewertungsweg dokumentiert, Abschluss 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Nicht bescheinigte Punkte</w:t>
      </w:r>
    </w:p>
    <w:p>
      <w:pPr>
        <w:jc w:val="left"/>
      </w:pPr>
      <w:r>
        <w:t>Dieser Entwurf bestätigt noch nicht:</w:t>
      </w:r>
    </w:p>
    <w:p>
      <w:pPr>
        <w:pStyle w:val="ListBullet"/>
      </w:pPr>
      <w:r>
        <w:t>finale Erfüllung aller Anforderungen aus Art. 9-15 KI-VO,</w:t>
      </w:r>
    </w:p>
    <w:p>
      <w:pPr>
        <w:pStyle w:val="ListBullet"/>
      </w:pPr>
      <w:r>
        <w:t>Berechtigung zur CE-Kennzeichnung,</w:t>
      </w:r>
    </w:p>
    <w:p>
      <w:pPr>
        <w:pStyle w:val="ListBullet"/>
      </w:pPr>
      <w:r>
        <w:t>abgeschlossene EU-Datenbankregistrierung,</w:t>
      </w:r>
    </w:p>
    <w:p>
      <w:pPr>
        <w:pStyle w:val="ListBullet"/>
      </w:pPr>
      <w:r>
        <w:t>vollständige Lieferantennachweise zur GPAI-Komponente,</w:t>
      </w:r>
    </w:p>
    <w:p>
      <w:pPr>
        <w:pStyle w:val="ListBullet"/>
      </w:pPr>
      <w:r>
        <w:t>abschließende Bias-Freiheit,</w:t>
      </w:r>
    </w:p>
    <w:p>
      <w:pPr>
        <w:pStyle w:val="ListBullet"/>
      </w:pPr>
      <w:r>
        <w:t>Freigabe für automatisierte Ablehnungsentscheidungen.</w:t>
      </w:r>
    </w:p>
    <w:p>
      <w:pPr>
        <w:pStyle w:val="Heading2"/>
      </w:pPr>
      <w:r>
        <w:rPr>
          <w:rFonts w:ascii="Times New Roman" w:hAnsi="Times New Roman"/>
        </w:rPr>
        <w:t>5. Vorläufige Freigabeempfehlung</w:t>
      </w:r>
    </w:p>
    <w:p>
      <w:pPr>
        <w:jc w:val="left"/>
      </w:pPr>
      <w:r>
        <w:t>Ein kontrollierter Pilotbetrieb kann vorbereitet werden, wenn:</w:t>
      </w:r>
    </w:p>
    <w:p>
      <w:pPr>
        <w:pStyle w:val="ListNumber"/>
      </w:pPr>
      <w:r>
        <w:t>automatisierte Ablehnungen technisch ausgeschlossen bleiben,</w:t>
      </w:r>
    </w:p>
    <w:p>
      <w:pPr>
        <w:pStyle w:val="ListNumber"/>
      </w:pPr>
      <w:r>
        <w:t>Human-Oversight-Schulung abgeschlossen ist,</w:t>
      </w:r>
    </w:p>
    <w:p>
      <w:pPr>
        <w:pStyle w:val="ListNumber"/>
      </w:pPr>
      <w:r>
        <w:t>Bias-Maßnahmen für nicht-lineare Karriereverläufe und Sprachmuster umgesetzt sind,</w:t>
      </w:r>
    </w:p>
    <w:p>
      <w:pPr>
        <w:pStyle w:val="ListNumber"/>
      </w:pPr>
      <w:r>
        <w:t>LexiCore-Lieferantennachweise nachgereicht sind,</w:t>
      </w:r>
    </w:p>
    <w:p>
      <w:pPr>
        <w:pStyle w:val="ListNumber"/>
      </w:pPr>
      <w:r>
        <w:t>Betreiberinnen schriftlich auf Nutzungsgrenzen verpflichtet werden.</w:t>
      </w:r>
    </w:p>
    <w:p>
      <w:pPr>
        <w:jc w:val="left"/>
      </w:pPr>
      <w:r>
        <w:t>Unterschrift final erst nach Schließen der Lückenliste.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BewerberPilot Score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BewerberPilot Score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