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Datenschutz-Folgenabschaetzung (DSFA) BewerberPilot TalentRank 2.4</w:t>
      </w:r>
    </w:p>
    <w:p>
      <w:pPr>
        <w:jc w:val="left"/>
      </w:pPr>
      <w:r>
        <w:rPr>
          <w:b/>
        </w:rPr>
        <w:t>Verantwortliche:</w:t>
      </w:r>
      <w:r>
        <w:t xml:space="preserve"> BewerberPilot Score GmbH, Koeln (Anbieterin / für Pilotbetrieb auch Auftragsverarbeiterin, soweit relevant)</w:t>
      </w:r>
    </w:p>
    <w:p>
      <w:pPr>
        <w:jc w:val="left"/>
      </w:pPr>
      <w:r>
        <w:rPr>
          <w:b/>
        </w:rPr>
        <w:t>Betreiberin (Pilot):</w:t>
      </w:r>
      <w:r>
        <w:t xml:space="preserve"> Elbtal Klinikservice gGmbH, Dresden (datenschutzrechtlich Verantwortliche)</w:t>
      </w:r>
    </w:p>
    <w:p>
      <w:pPr>
        <w:jc w:val="left"/>
      </w:pPr>
      <w:r>
        <w:rPr>
          <w:b/>
        </w:rPr>
        <w:t>Verfasserin:</w:t>
      </w:r>
      <w:r>
        <w:t xml:space="preserve"> Dr. Caspar Lintorf (Compliance), in Abstimmung mit dem benannten Datenschutzbeauftragten der BewerberPilot Score GmbH (Frau Dr. Selma Pesch)</w:t>
      </w:r>
    </w:p>
    <w:p>
      <w:pPr>
        <w:jc w:val="left"/>
      </w:pPr>
      <w:r>
        <w:rPr>
          <w:b/>
        </w:rPr>
        <w:t>Stand:</w:t>
      </w:r>
      <w:r>
        <w:t xml:space="preserve"> Entwurf v0.6 vom 14.05.2026</w:t>
      </w:r>
    </w:p>
    <w:p>
      <w:pPr>
        <w:jc w:val="left"/>
      </w:pPr>
      <w:r>
        <w:rPr>
          <w:b/>
        </w:rPr>
        <w:t>Prüfdatum nächste Aktualisierung:</w:t>
      </w:r>
      <w:r>
        <w:t xml:space="preserve"> 14.07.2026 (nach Pilotbeginn)</w:t>
      </w:r>
    </w:p>
    <w:p>
      <w:pPr>
        <w:jc w:val="left"/>
      </w:pPr>
      <w:r>
        <w:rPr>
          <w:b/>
        </w:rPr>
        <w:t>Rechtsgrundlage DSFA:</w:t>
      </w:r>
      <w:r>
        <w:t xml:space="preserve"> Art. 35 DSGVO; ergänzt durch KI-VO Berührungspunkte (Art. 27 KI-VO).</w:t>
      </w:r>
    </w:p>
    <w:p>
      <w:pPr>
        <w:pStyle w:val="Heading2"/>
      </w:pPr>
      <w:r>
        <w:rPr>
          <w:rFonts w:ascii="Times New Roman" w:hAnsi="Times New Roman"/>
        </w:rPr>
        <w:t>1. Beschreibung der Verarbeitung</w:t>
      </w:r>
    </w:p>
    <w:p>
      <w:pPr>
        <w:pStyle w:val="Heading3"/>
      </w:pPr>
      <w:r>
        <w:rPr>
          <w:rFonts w:ascii="Times New Roman" w:hAnsi="Times New Roman"/>
        </w:rPr>
        <w:t>1.1 Datenkategorien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Kategorie</w:t>
            </w:r>
          </w:p>
        </w:tc>
        <w:tc>
          <w:tcPr>
            <w:tcW w:type="dxa" w:w="2268"/>
          </w:tcPr>
          <w:p>
            <w:r>
              <w:rPr>
                <w:rFonts w:ascii="Times New Roman" w:hAnsi="Times New Roman"/>
                <w:b/>
                <w:sz w:val="20"/>
              </w:rPr>
              <w:t>Quellen</w:t>
            </w:r>
          </w:p>
        </w:tc>
        <w:tc>
          <w:tcPr>
            <w:tcW w:type="dxa" w:w="2268"/>
          </w:tcPr>
          <w:p>
            <w:r>
              <w:rPr>
                <w:rFonts w:ascii="Times New Roman" w:hAnsi="Times New Roman"/>
                <w:b/>
                <w:sz w:val="20"/>
              </w:rPr>
              <w:t>Zweck</w:t>
            </w:r>
          </w:p>
        </w:tc>
        <w:tc>
          <w:tcPr>
            <w:tcW w:type="dxa" w:w="2268"/>
          </w:tcPr>
          <w:p>
            <w:r>
              <w:rPr>
                <w:rFonts w:ascii="Times New Roman" w:hAnsi="Times New Roman"/>
                <w:b/>
                <w:sz w:val="20"/>
              </w:rPr>
              <w:t>Aufbewahrung</w:t>
            </w:r>
          </w:p>
        </w:tc>
      </w:tr>
      <w:tr>
        <w:tc>
          <w:tcPr>
            <w:tcW w:type="dxa" w:w="2268"/>
          </w:tcPr>
          <w:p>
            <w:r>
              <w:rPr>
                <w:rFonts w:ascii="Times New Roman" w:hAnsi="Times New Roman"/>
                <w:sz w:val="20"/>
              </w:rPr>
              <w:t>Lebenslauf, Anschreiben, Zeugnisse, Zertifikate</w:t>
            </w:r>
          </w:p>
        </w:tc>
        <w:tc>
          <w:tcPr>
            <w:tcW w:type="dxa" w:w="2268"/>
          </w:tcPr>
          <w:p>
            <w:r>
              <w:rPr>
                <w:rFonts w:ascii="Times New Roman" w:hAnsi="Times New Roman"/>
                <w:sz w:val="20"/>
              </w:rPr>
              <w:t>Upload Bewerbung</w:t>
            </w:r>
          </w:p>
        </w:tc>
        <w:tc>
          <w:tcPr>
            <w:tcW w:type="dxa" w:w="2268"/>
          </w:tcPr>
          <w:p>
            <w:r>
              <w:rPr>
                <w:rFonts w:ascii="Times New Roman" w:hAnsi="Times New Roman"/>
                <w:sz w:val="20"/>
              </w:rPr>
              <w:t>Merkmalsextraktion und Priorisierung</w:t>
            </w:r>
          </w:p>
        </w:tc>
        <w:tc>
          <w:tcPr>
            <w:tcW w:type="dxa" w:w="2268"/>
          </w:tcPr>
          <w:p>
            <w:r>
              <w:rPr>
                <w:rFonts w:ascii="Times New Roman" w:hAnsi="Times New Roman"/>
                <w:sz w:val="20"/>
              </w:rPr>
              <w:t>24 Monate nach Bewerbungsabschluss</w:t>
            </w:r>
          </w:p>
        </w:tc>
      </w:tr>
      <w:tr>
        <w:tc>
          <w:tcPr>
            <w:tcW w:type="dxa" w:w="2268"/>
          </w:tcPr>
          <w:p>
            <w:r>
              <w:rPr>
                <w:rFonts w:ascii="Times New Roman" w:hAnsi="Times New Roman"/>
                <w:sz w:val="20"/>
              </w:rPr>
              <w:t>Kontaktdaten</w:t>
            </w:r>
          </w:p>
        </w:tc>
        <w:tc>
          <w:tcPr>
            <w:tcW w:type="dxa" w:w="2268"/>
          </w:tcPr>
          <w:p>
            <w:r>
              <w:rPr>
                <w:rFonts w:ascii="Times New Roman" w:hAnsi="Times New Roman"/>
                <w:sz w:val="20"/>
              </w:rPr>
              <w:t>Bewerbungsformular, Lebenslauf</w:t>
            </w:r>
          </w:p>
        </w:tc>
        <w:tc>
          <w:tcPr>
            <w:tcW w:type="dxa" w:w="2268"/>
          </w:tcPr>
          <w:p>
            <w:r>
              <w:rPr>
                <w:rFonts w:ascii="Times New Roman" w:hAnsi="Times New Roman"/>
                <w:sz w:val="20"/>
              </w:rPr>
              <w:t>Recruiterkommunikation</w:t>
            </w:r>
          </w:p>
        </w:tc>
        <w:tc>
          <w:tcPr>
            <w:tcW w:type="dxa" w:w="2268"/>
          </w:tcPr>
          <w:p>
            <w:r>
              <w:rPr>
                <w:rFonts w:ascii="Times New Roman" w:hAnsi="Times New Roman"/>
                <w:sz w:val="20"/>
              </w:rPr>
              <w:t>6 Monate, danach Löschung wenn keine weitere Verarbeitungsgrundlage</w:t>
            </w:r>
          </w:p>
        </w:tc>
      </w:tr>
      <w:tr>
        <w:tc>
          <w:tcPr>
            <w:tcW w:type="dxa" w:w="2268"/>
          </w:tcPr>
          <w:p>
            <w:r>
              <w:rPr>
                <w:rFonts w:ascii="Times New Roman" w:hAnsi="Times New Roman"/>
                <w:sz w:val="20"/>
              </w:rPr>
              <w:t>Berufserfahrung, Ausbildung, Sprachkenntnisse</w:t>
            </w:r>
          </w:p>
        </w:tc>
        <w:tc>
          <w:tcPr>
            <w:tcW w:type="dxa" w:w="2268"/>
          </w:tcPr>
          <w:p>
            <w:r>
              <w:rPr>
                <w:rFonts w:ascii="Times New Roman" w:hAnsi="Times New Roman"/>
                <w:sz w:val="20"/>
              </w:rPr>
              <w:t>Lebenslauf</w:t>
            </w:r>
          </w:p>
        </w:tc>
        <w:tc>
          <w:tcPr>
            <w:tcW w:type="dxa" w:w="2268"/>
          </w:tcPr>
          <w:p>
            <w:r>
              <w:rPr>
                <w:rFonts w:ascii="Times New Roman" w:hAnsi="Times New Roman"/>
                <w:sz w:val="20"/>
              </w:rPr>
              <w:t>Score und Erklärung</w:t>
            </w:r>
          </w:p>
        </w:tc>
        <w:tc>
          <w:tcPr>
            <w:tcW w:type="dxa" w:w="2268"/>
          </w:tcPr>
          <w:p>
            <w:r>
              <w:rPr>
                <w:rFonts w:ascii="Times New Roman" w:hAnsi="Times New Roman"/>
                <w:sz w:val="20"/>
              </w:rPr>
              <w:t>24 Monate</w:t>
            </w:r>
          </w:p>
        </w:tc>
      </w:tr>
      <w:tr>
        <w:tc>
          <w:tcPr>
            <w:tcW w:type="dxa" w:w="2268"/>
          </w:tcPr>
          <w:p>
            <w:r>
              <w:rPr>
                <w:rFonts w:ascii="Times New Roman" w:hAnsi="Times New Roman"/>
                <w:sz w:val="20"/>
              </w:rPr>
              <w:t>Bewerbungsstatus</w:t>
            </w:r>
          </w:p>
        </w:tc>
        <w:tc>
          <w:tcPr>
            <w:tcW w:type="dxa" w:w="2268"/>
          </w:tcPr>
          <w:p>
            <w:r>
              <w:rPr>
                <w:rFonts w:ascii="Times New Roman" w:hAnsi="Times New Roman"/>
                <w:sz w:val="20"/>
              </w:rPr>
              <w:t>Recruiter-Eingabe</w:t>
            </w:r>
          </w:p>
        </w:tc>
        <w:tc>
          <w:tcPr>
            <w:tcW w:type="dxa" w:w="2268"/>
          </w:tcPr>
          <w:p>
            <w:r>
              <w:rPr>
                <w:rFonts w:ascii="Times New Roman" w:hAnsi="Times New Roman"/>
                <w:sz w:val="20"/>
              </w:rPr>
              <w:t>Workflow</w:t>
            </w:r>
          </w:p>
        </w:tc>
        <w:tc>
          <w:tcPr>
            <w:tcW w:type="dxa" w:w="2268"/>
          </w:tcPr>
          <w:p>
            <w:r>
              <w:rPr>
                <w:rFonts w:ascii="Times New Roman" w:hAnsi="Times New Roman"/>
                <w:sz w:val="20"/>
              </w:rPr>
              <w:t>6 Monate</w:t>
            </w:r>
          </w:p>
        </w:tc>
      </w:tr>
      <w:tr>
        <w:tc>
          <w:tcPr>
            <w:tcW w:type="dxa" w:w="2268"/>
          </w:tcPr>
          <w:p>
            <w:r>
              <w:rPr>
                <w:rFonts w:ascii="Times New Roman" w:hAnsi="Times New Roman"/>
                <w:sz w:val="20"/>
              </w:rPr>
              <w:t>Manuelle Recruiterkommentare</w:t>
            </w:r>
          </w:p>
        </w:tc>
        <w:tc>
          <w:tcPr>
            <w:tcW w:type="dxa" w:w="2268"/>
          </w:tcPr>
          <w:p>
            <w:r>
              <w:rPr>
                <w:rFonts w:ascii="Times New Roman" w:hAnsi="Times New Roman"/>
                <w:sz w:val="20"/>
              </w:rPr>
              <w:t>Recruiter-Eingabe</w:t>
            </w:r>
          </w:p>
        </w:tc>
        <w:tc>
          <w:tcPr>
            <w:tcW w:type="dxa" w:w="2268"/>
          </w:tcPr>
          <w:p>
            <w:r>
              <w:rPr>
                <w:rFonts w:ascii="Times New Roman" w:hAnsi="Times New Roman"/>
                <w:sz w:val="20"/>
              </w:rPr>
              <w:t>Dokumentation Entscheidung</w:t>
            </w:r>
          </w:p>
        </w:tc>
        <w:tc>
          <w:tcPr>
            <w:tcW w:type="dxa" w:w="2268"/>
          </w:tcPr>
          <w:p>
            <w:r>
              <w:rPr>
                <w:rFonts w:ascii="Times New Roman" w:hAnsi="Times New Roman"/>
                <w:sz w:val="20"/>
              </w:rPr>
              <w:t>24 Monate</w:t>
            </w:r>
          </w:p>
        </w:tc>
      </w:tr>
      <w:tr>
        <w:tc>
          <w:tcPr>
            <w:tcW w:type="dxa" w:w="2268"/>
          </w:tcPr>
          <w:p>
            <w:r>
              <w:rPr>
                <w:rFonts w:ascii="Times New Roman" w:hAnsi="Times New Roman"/>
                <w:sz w:val="20"/>
              </w:rPr>
              <w:t>Systemscore und Erklaermerkmale</w:t>
            </w:r>
          </w:p>
        </w:tc>
        <w:tc>
          <w:tcPr>
            <w:tcW w:type="dxa" w:w="2268"/>
          </w:tcPr>
          <w:p>
            <w:r>
              <w:rPr>
                <w:rFonts w:ascii="Times New Roman" w:hAnsi="Times New Roman"/>
                <w:sz w:val="20"/>
              </w:rPr>
              <w:t>KI-Inferenz</w:t>
            </w:r>
          </w:p>
        </w:tc>
        <w:tc>
          <w:tcPr>
            <w:tcW w:type="dxa" w:w="2268"/>
          </w:tcPr>
          <w:p>
            <w:r>
              <w:rPr>
                <w:rFonts w:ascii="Times New Roman" w:hAnsi="Times New Roman"/>
                <w:sz w:val="20"/>
              </w:rPr>
              <w:t>Priorisierung und Audit</w:t>
            </w:r>
          </w:p>
        </w:tc>
        <w:tc>
          <w:tcPr>
            <w:tcW w:type="dxa" w:w="2268"/>
          </w:tcPr>
          <w:p>
            <w:r>
              <w:rPr>
                <w:rFonts w:ascii="Times New Roman" w:hAnsi="Times New Roman"/>
                <w:sz w:val="20"/>
              </w:rPr>
              <w:t>24 Monate</w:t>
            </w:r>
          </w:p>
        </w:tc>
      </w:tr>
      <w:tr>
        <w:tc>
          <w:tcPr>
            <w:tcW w:type="dxa" w:w="2268"/>
          </w:tcPr>
          <w:p>
            <w:r>
              <w:rPr>
                <w:rFonts w:ascii="Times New Roman" w:hAnsi="Times New Roman"/>
                <w:sz w:val="20"/>
              </w:rPr>
              <w:t>Logging-Daten</w:t>
            </w:r>
          </w:p>
        </w:tc>
        <w:tc>
          <w:tcPr>
            <w:tcW w:type="dxa" w:w="2268"/>
          </w:tcPr>
          <w:p>
            <w:r>
              <w:rPr>
                <w:rFonts w:ascii="Times New Roman" w:hAnsi="Times New Roman"/>
                <w:sz w:val="20"/>
              </w:rPr>
              <w:t>System</w:t>
            </w:r>
          </w:p>
        </w:tc>
        <w:tc>
          <w:tcPr>
            <w:tcW w:type="dxa" w:w="2268"/>
          </w:tcPr>
          <w:p>
            <w:r>
              <w:rPr>
                <w:rFonts w:ascii="Times New Roman" w:hAnsi="Times New Roman"/>
                <w:sz w:val="20"/>
              </w:rPr>
              <w:t>Nachvollziehbarkeit</w:t>
            </w:r>
          </w:p>
        </w:tc>
        <w:tc>
          <w:tcPr>
            <w:tcW w:type="dxa" w:w="2268"/>
          </w:tcPr>
          <w:p>
            <w:r>
              <w:rPr>
                <w:rFonts w:ascii="Times New Roman" w:hAnsi="Times New Roman"/>
                <w:sz w:val="20"/>
              </w:rPr>
              <w:t>18 - 24 Monate (vgl. 06_human_oversight_logging_art_12_14.md)</w:t>
            </w:r>
          </w:p>
        </w:tc>
      </w:tr>
    </w:tbl>
    <w:p>
      <w:pPr>
        <w:pStyle w:val="Heading3"/>
      </w:pPr>
      <w:r>
        <w:rPr>
          <w:rFonts w:ascii="Times New Roman" w:hAnsi="Times New Roman"/>
        </w:rPr>
        <w:t>1.2 Verarbeitungsschritte</w:t>
      </w:r>
    </w:p>
    <w:p>
      <w:pPr>
        <w:pStyle w:val="ListNumber"/>
      </w:pPr>
      <w:r>
        <w:t>Upload Bewerbungsunterlagen (HTTPS, EU-Hosting MedData Hosting GmbH Nürnberg).</w:t>
      </w:r>
    </w:p>
    <w:p>
      <w:pPr>
        <w:pStyle w:val="ListNumber"/>
      </w:pPr>
      <w:r>
        <w:t>Dokumentklassifikation und OCR (lokales Modell).</w:t>
      </w:r>
    </w:p>
    <w:p>
      <w:pPr>
        <w:pStyle w:val="ListNumber"/>
      </w:pPr>
      <w:r>
        <w:t>Extraktion strukturierter Merkmale (lokales Modell).</w:t>
      </w:r>
    </w:p>
    <w:p>
      <w:pPr>
        <w:pStyle w:val="ListNumber"/>
      </w:pPr>
      <w:r>
        <w:t>Abgleich mit Stellenprofil (Score zwischen 0 und 100, Muss-Kriterium-Flag).</w:t>
      </w:r>
    </w:p>
    <w:p>
      <w:pPr>
        <w:pStyle w:val="ListNumber"/>
      </w:pPr>
      <w:r>
        <w:t>Zusammenfassung und Interviewfragen durch GPAI-Komponente LexiCore Coordinator v3.1 (Auftragsverarbeiter LexiCore Systems Inc. über EU-Endpoint Dublin; Datenübermittlung in Drittländer ausgeschlossen durch Vertragsklausel und technische Konfiguration).</w:t>
      </w:r>
    </w:p>
    <w:p>
      <w:pPr>
        <w:pStyle w:val="ListNumber"/>
      </w:pPr>
      <w:r>
        <w:t>Anzeige im Recruiter-Dashboard.</w:t>
      </w:r>
    </w:p>
    <w:p>
      <w:pPr>
        <w:pStyle w:val="ListNumber"/>
      </w:pPr>
      <w:r>
        <w:t>Menschliche Entscheidung (kein automatisierter Ablehnungsweg).</w:t>
      </w:r>
    </w:p>
    <w:p>
      <w:pPr>
        <w:pStyle w:val="ListNumber"/>
      </w:pPr>
      <w:r>
        <w:t>Protokollierung der Entscheidung.</w:t>
      </w:r>
    </w:p>
    <w:p>
      <w:pPr>
        <w:pStyle w:val="Heading3"/>
      </w:pPr>
      <w:r>
        <w:rPr>
          <w:rFonts w:ascii="Times New Roman" w:hAnsi="Times New Roman"/>
        </w:rPr>
        <w:t>1.3 Datenfluss in Drittländer</w:t>
      </w:r>
    </w:p>
    <w:p>
      <w:pPr>
        <w:jc w:val="left"/>
      </w:pPr>
      <w:r>
        <w:t xml:space="preserve">Nach derzeitiger Konfiguration </w:t>
      </w:r>
      <w:r>
        <w:rPr>
          <w:b/>
        </w:rPr>
        <w:t>keine</w:t>
      </w:r>
      <w:r>
        <w:t xml:space="preserve"> Datenübermittlung in Drittländer. Der GPAI-Endpoint von LexiCore ist auf den EU-Region-Endpoint Dublin festgelegt; die Auftragsverarbeitung erfolgt nach Standardvertragsklauseln 2021/914 Modul 2. </w:t>
      </w:r>
      <w:r>
        <w:rPr>
          <w:b/>
        </w:rPr>
        <w:t>Prüfbedarf:</w:t>
      </w:r>
      <w:r>
        <w:t xml:space="preserve"> Vertragsklausel "Keine Datenübermittlung in Drittländer" muss von LexiCore schriftlich bestätigt werden (vgl. Lückenliste Nr. 4).</w:t>
      </w:r>
    </w:p>
    <w:p>
      <w:pPr>
        <w:pStyle w:val="Heading2"/>
      </w:pPr>
      <w:r>
        <w:rPr>
          <w:rFonts w:ascii="Times New Roman" w:hAnsi="Times New Roman"/>
        </w:rPr>
        <w:t>2. Risiken für die Rechte und Freiheiten Betroffener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Risiko-ID</w:t>
            </w:r>
          </w:p>
        </w:tc>
        <w:tc>
          <w:tcPr>
            <w:tcW w:type="dxa" w:w="1814"/>
          </w:tcPr>
          <w:p>
            <w:r>
              <w:rPr>
                <w:rFonts w:ascii="Times New Roman" w:hAnsi="Times New Roman"/>
                <w:b/>
                <w:sz w:val="20"/>
              </w:rPr>
              <w:t>Risiko</w:t>
            </w:r>
          </w:p>
        </w:tc>
        <w:tc>
          <w:tcPr>
            <w:tcW w:type="dxa" w:w="1814"/>
          </w:tcPr>
          <w:p>
            <w:r>
              <w:rPr>
                <w:rFonts w:ascii="Times New Roman" w:hAnsi="Times New Roman"/>
                <w:b/>
                <w:sz w:val="20"/>
              </w:rPr>
              <w:t>Eintrittswahrscheinlichkeit</w:t>
            </w:r>
          </w:p>
        </w:tc>
        <w:tc>
          <w:tcPr>
            <w:tcW w:type="dxa" w:w="1814"/>
          </w:tcPr>
          <w:p>
            <w:r>
              <w:rPr>
                <w:rFonts w:ascii="Times New Roman" w:hAnsi="Times New Roman"/>
                <w:b/>
                <w:sz w:val="20"/>
              </w:rPr>
              <w:t>Schadensschwere</w:t>
            </w:r>
          </w:p>
        </w:tc>
        <w:tc>
          <w:tcPr>
            <w:tcW w:type="dxa" w:w="1814"/>
          </w:tcPr>
          <w:p>
            <w:r>
              <w:rPr>
                <w:rFonts w:ascii="Times New Roman" w:hAnsi="Times New Roman"/>
                <w:b/>
                <w:sz w:val="20"/>
              </w:rPr>
              <w:t>Bewertung</w:t>
            </w:r>
          </w:p>
        </w:tc>
      </w:tr>
      <w:tr>
        <w:tc>
          <w:tcPr>
            <w:tcW w:type="dxa" w:w="1814"/>
          </w:tcPr>
          <w:p>
            <w:r>
              <w:rPr>
                <w:rFonts w:ascii="Times New Roman" w:hAnsi="Times New Roman"/>
                <w:sz w:val="20"/>
              </w:rPr>
              <w:t>DSFA-R-01</w:t>
            </w:r>
          </w:p>
        </w:tc>
        <w:tc>
          <w:tcPr>
            <w:tcW w:type="dxa" w:w="1814"/>
          </w:tcPr>
          <w:p>
            <w:r>
              <w:rPr>
                <w:rFonts w:ascii="Times New Roman" w:hAnsi="Times New Roman"/>
                <w:sz w:val="20"/>
              </w:rPr>
              <w:t>Diskriminierende Benachteiligung wegen unbalancierter Trainingsdaten</w:t>
            </w:r>
          </w:p>
        </w:tc>
        <w:tc>
          <w:tcPr>
            <w:tcW w:type="dxa" w:w="1814"/>
          </w:tcPr>
          <w:p>
            <w:r>
              <w:rPr>
                <w:rFonts w:ascii="Times New Roman" w:hAnsi="Times New Roman"/>
                <w:sz w:val="20"/>
              </w:rPr>
              <w:t>Mittel</w:t>
            </w:r>
          </w:p>
        </w:tc>
        <w:tc>
          <w:tcPr>
            <w:tcW w:type="dxa" w:w="1814"/>
          </w:tcPr>
          <w:p>
            <w:r>
              <w:rPr>
                <w:rFonts w:ascii="Times New Roman" w:hAnsi="Times New Roman"/>
                <w:sz w:val="20"/>
              </w:rPr>
              <w:t>Hoch</w:t>
            </w:r>
          </w:p>
        </w:tc>
        <w:tc>
          <w:tcPr>
            <w:tcW w:type="dxa" w:w="1814"/>
          </w:tcPr>
          <w:p>
            <w:r>
              <w:rPr>
                <w:rFonts w:ascii="Times New Roman" w:hAnsi="Times New Roman"/>
                <w:sz w:val="20"/>
              </w:rPr>
              <w:t>Hochrisiko</w:t>
            </w:r>
          </w:p>
        </w:tc>
      </w:tr>
      <w:tr>
        <w:tc>
          <w:tcPr>
            <w:tcW w:type="dxa" w:w="1814"/>
          </w:tcPr>
          <w:p>
            <w:r>
              <w:rPr>
                <w:rFonts w:ascii="Times New Roman" w:hAnsi="Times New Roman"/>
                <w:sz w:val="20"/>
              </w:rPr>
              <w:t>DSFA-R-02</w:t>
            </w:r>
          </w:p>
        </w:tc>
        <w:tc>
          <w:tcPr>
            <w:tcW w:type="dxa" w:w="1814"/>
          </w:tcPr>
          <w:p>
            <w:r>
              <w:rPr>
                <w:rFonts w:ascii="Times New Roman" w:hAnsi="Times New Roman"/>
                <w:sz w:val="20"/>
              </w:rPr>
              <w:t>Verarbeitung besonderer Kategorien (Art. 9 DSGVO) ohne Rechtsgrundlage</w:t>
            </w:r>
          </w:p>
        </w:tc>
        <w:tc>
          <w:tcPr>
            <w:tcW w:type="dxa" w:w="1814"/>
          </w:tcPr>
          <w:p>
            <w:r>
              <w:rPr>
                <w:rFonts w:ascii="Times New Roman" w:hAnsi="Times New Roman"/>
                <w:sz w:val="20"/>
              </w:rPr>
              <w:t>Niedrig/Mittel</w:t>
            </w:r>
          </w:p>
        </w:tc>
        <w:tc>
          <w:tcPr>
            <w:tcW w:type="dxa" w:w="1814"/>
          </w:tcPr>
          <w:p>
            <w:r>
              <w:rPr>
                <w:rFonts w:ascii="Times New Roman" w:hAnsi="Times New Roman"/>
                <w:sz w:val="20"/>
              </w:rPr>
              <w:t>Hoch</w:t>
            </w:r>
          </w:p>
        </w:tc>
        <w:tc>
          <w:tcPr>
            <w:tcW w:type="dxa" w:w="1814"/>
          </w:tcPr>
          <w:p>
            <w:r>
              <w:rPr>
                <w:rFonts w:ascii="Times New Roman" w:hAnsi="Times New Roman"/>
                <w:sz w:val="20"/>
              </w:rPr>
              <w:t>Hochrisiko</w:t>
            </w:r>
          </w:p>
        </w:tc>
      </w:tr>
      <w:tr>
        <w:tc>
          <w:tcPr>
            <w:tcW w:type="dxa" w:w="1814"/>
          </w:tcPr>
          <w:p>
            <w:r>
              <w:rPr>
                <w:rFonts w:ascii="Times New Roman" w:hAnsi="Times New Roman"/>
                <w:sz w:val="20"/>
              </w:rPr>
              <w:t>DSFA-R-03</w:t>
            </w:r>
          </w:p>
        </w:tc>
        <w:tc>
          <w:tcPr>
            <w:tcW w:type="dxa" w:w="1814"/>
          </w:tcPr>
          <w:p>
            <w:r>
              <w:rPr>
                <w:rFonts w:ascii="Times New Roman" w:hAnsi="Times New Roman"/>
                <w:sz w:val="20"/>
              </w:rPr>
              <w:t>Verlust der Vertraulichkeit (Cyberangriff)</w:t>
            </w:r>
          </w:p>
        </w:tc>
        <w:tc>
          <w:tcPr>
            <w:tcW w:type="dxa" w:w="1814"/>
          </w:tcPr>
          <w:p>
            <w:r>
              <w:rPr>
                <w:rFonts w:ascii="Times New Roman" w:hAnsi="Times New Roman"/>
                <w:sz w:val="20"/>
              </w:rPr>
              <w:t>Niedrig</w:t>
            </w:r>
          </w:p>
        </w:tc>
        <w:tc>
          <w:tcPr>
            <w:tcW w:type="dxa" w:w="1814"/>
          </w:tcPr>
          <w:p>
            <w:r>
              <w:rPr>
                <w:rFonts w:ascii="Times New Roman" w:hAnsi="Times New Roman"/>
                <w:sz w:val="20"/>
              </w:rPr>
              <w:t>Hoch</w:t>
            </w:r>
          </w:p>
        </w:tc>
        <w:tc>
          <w:tcPr>
            <w:tcW w:type="dxa" w:w="1814"/>
          </w:tcPr>
          <w:p>
            <w:r>
              <w:rPr>
                <w:rFonts w:ascii="Times New Roman" w:hAnsi="Times New Roman"/>
                <w:sz w:val="20"/>
              </w:rPr>
              <w:t>Hochrisiko</w:t>
            </w:r>
          </w:p>
        </w:tc>
      </w:tr>
      <w:tr>
        <w:tc>
          <w:tcPr>
            <w:tcW w:type="dxa" w:w="1814"/>
          </w:tcPr>
          <w:p>
            <w:r>
              <w:rPr>
                <w:rFonts w:ascii="Times New Roman" w:hAnsi="Times New Roman"/>
                <w:sz w:val="20"/>
              </w:rPr>
              <w:t>DSFA-R-04</w:t>
            </w:r>
          </w:p>
        </w:tc>
        <w:tc>
          <w:tcPr>
            <w:tcW w:type="dxa" w:w="1814"/>
          </w:tcPr>
          <w:p>
            <w:r>
              <w:rPr>
                <w:rFonts w:ascii="Times New Roman" w:hAnsi="Times New Roman"/>
                <w:sz w:val="20"/>
              </w:rPr>
              <w:t>Fehlerhafte automatisierte Verarbeitung mit faktischer Ablehnungswirkung (Art. 22 DSGVO Berührung)</w:t>
            </w:r>
          </w:p>
        </w:tc>
        <w:tc>
          <w:tcPr>
            <w:tcW w:type="dxa" w:w="1814"/>
          </w:tcPr>
          <w:p>
            <w:r>
              <w:rPr>
                <w:rFonts w:ascii="Times New Roman" w:hAnsi="Times New Roman"/>
                <w:sz w:val="20"/>
              </w:rPr>
              <w:t>Mittel</w:t>
            </w:r>
          </w:p>
        </w:tc>
        <w:tc>
          <w:tcPr>
            <w:tcW w:type="dxa" w:w="1814"/>
          </w:tcPr>
          <w:p>
            <w:r>
              <w:rPr>
                <w:rFonts w:ascii="Times New Roman" w:hAnsi="Times New Roman"/>
                <w:sz w:val="20"/>
              </w:rPr>
              <w:t>Hoch</w:t>
            </w:r>
          </w:p>
        </w:tc>
        <w:tc>
          <w:tcPr>
            <w:tcW w:type="dxa" w:w="1814"/>
          </w:tcPr>
          <w:p>
            <w:r>
              <w:rPr>
                <w:rFonts w:ascii="Times New Roman" w:hAnsi="Times New Roman"/>
                <w:sz w:val="20"/>
              </w:rPr>
              <w:t>Hochrisiko</w:t>
            </w:r>
          </w:p>
        </w:tc>
      </w:tr>
      <w:tr>
        <w:tc>
          <w:tcPr>
            <w:tcW w:type="dxa" w:w="1814"/>
          </w:tcPr>
          <w:p>
            <w:r>
              <w:rPr>
                <w:rFonts w:ascii="Times New Roman" w:hAnsi="Times New Roman"/>
                <w:sz w:val="20"/>
              </w:rPr>
              <w:t>DSFA-R-05</w:t>
            </w:r>
          </w:p>
        </w:tc>
        <w:tc>
          <w:tcPr>
            <w:tcW w:type="dxa" w:w="1814"/>
          </w:tcPr>
          <w:p>
            <w:r>
              <w:rPr>
                <w:rFonts w:ascii="Times New Roman" w:hAnsi="Times New Roman"/>
                <w:sz w:val="20"/>
              </w:rPr>
              <w:t>Mangelnde Betroffenenrechte (Auskunft, Löschung, Widerspruch)</w:t>
            </w:r>
          </w:p>
        </w:tc>
        <w:tc>
          <w:tcPr>
            <w:tcW w:type="dxa" w:w="1814"/>
          </w:tcPr>
          <w:p>
            <w:r>
              <w:rPr>
                <w:rFonts w:ascii="Times New Roman" w:hAnsi="Times New Roman"/>
                <w:sz w:val="20"/>
              </w:rPr>
              <w:t>Mittel</w:t>
            </w:r>
          </w:p>
        </w:tc>
        <w:tc>
          <w:tcPr>
            <w:tcW w:type="dxa" w:w="1814"/>
          </w:tcPr>
          <w:p>
            <w:r>
              <w:rPr>
                <w:rFonts w:ascii="Times New Roman" w:hAnsi="Times New Roman"/>
                <w:sz w:val="20"/>
              </w:rPr>
              <w:t>Mittel</w:t>
            </w:r>
          </w:p>
        </w:tc>
        <w:tc>
          <w:tcPr>
            <w:tcW w:type="dxa" w:w="1814"/>
          </w:tcPr>
          <w:p>
            <w:r>
              <w:rPr>
                <w:rFonts w:ascii="Times New Roman" w:hAnsi="Times New Roman"/>
                <w:sz w:val="20"/>
              </w:rPr>
              <w:t>Erhebliches Risiko</w:t>
            </w:r>
          </w:p>
        </w:tc>
      </w:tr>
      <w:tr>
        <w:tc>
          <w:tcPr>
            <w:tcW w:type="dxa" w:w="1814"/>
          </w:tcPr>
          <w:p>
            <w:r>
              <w:rPr>
                <w:rFonts w:ascii="Times New Roman" w:hAnsi="Times New Roman"/>
                <w:sz w:val="20"/>
              </w:rPr>
              <w:t>DSFA-R-06</w:t>
            </w:r>
          </w:p>
        </w:tc>
        <w:tc>
          <w:tcPr>
            <w:tcW w:type="dxa" w:w="1814"/>
          </w:tcPr>
          <w:p>
            <w:r>
              <w:rPr>
                <w:rFonts w:ascii="Times New Roman" w:hAnsi="Times New Roman"/>
                <w:sz w:val="20"/>
              </w:rPr>
              <w:t>Unzureichende Information über den KI-Einsatz (Art. 13/14 DSGVO + Art. 13/26 KI-VO)</w:t>
            </w:r>
          </w:p>
        </w:tc>
        <w:tc>
          <w:tcPr>
            <w:tcW w:type="dxa" w:w="1814"/>
          </w:tcPr>
          <w:p>
            <w:r>
              <w:rPr>
                <w:rFonts w:ascii="Times New Roman" w:hAnsi="Times New Roman"/>
                <w:sz w:val="20"/>
              </w:rPr>
              <w:t>Mittel</w:t>
            </w:r>
          </w:p>
        </w:tc>
        <w:tc>
          <w:tcPr>
            <w:tcW w:type="dxa" w:w="1814"/>
          </w:tcPr>
          <w:p>
            <w:r>
              <w:rPr>
                <w:rFonts w:ascii="Times New Roman" w:hAnsi="Times New Roman"/>
                <w:sz w:val="20"/>
              </w:rPr>
              <w:t>Mittel</w:t>
            </w:r>
          </w:p>
        </w:tc>
        <w:tc>
          <w:tcPr>
            <w:tcW w:type="dxa" w:w="1814"/>
          </w:tcPr>
          <w:p>
            <w:r>
              <w:rPr>
                <w:rFonts w:ascii="Times New Roman" w:hAnsi="Times New Roman"/>
                <w:sz w:val="20"/>
              </w:rPr>
              <w:t>Erhebliches Risiko</w:t>
            </w:r>
          </w:p>
        </w:tc>
      </w:tr>
      <w:tr>
        <w:tc>
          <w:tcPr>
            <w:tcW w:type="dxa" w:w="1814"/>
          </w:tcPr>
          <w:p>
            <w:r>
              <w:rPr>
                <w:rFonts w:ascii="Times New Roman" w:hAnsi="Times New Roman"/>
                <w:sz w:val="20"/>
              </w:rPr>
              <w:t>DSFA-R-07</w:t>
            </w:r>
          </w:p>
        </w:tc>
        <w:tc>
          <w:tcPr>
            <w:tcW w:type="dxa" w:w="1814"/>
          </w:tcPr>
          <w:p>
            <w:r>
              <w:rPr>
                <w:rFonts w:ascii="Times New Roman" w:hAnsi="Times New Roman"/>
                <w:sz w:val="20"/>
              </w:rPr>
              <w:t>Falsche Aufbewahrungsdauern</w:t>
            </w:r>
          </w:p>
        </w:tc>
        <w:tc>
          <w:tcPr>
            <w:tcW w:type="dxa" w:w="1814"/>
          </w:tcPr>
          <w:p>
            <w:r>
              <w:rPr>
                <w:rFonts w:ascii="Times New Roman" w:hAnsi="Times New Roman"/>
                <w:sz w:val="20"/>
              </w:rPr>
              <w:t>Niedrig</w:t>
            </w:r>
          </w:p>
        </w:tc>
        <w:tc>
          <w:tcPr>
            <w:tcW w:type="dxa" w:w="1814"/>
          </w:tcPr>
          <w:p>
            <w:r>
              <w:rPr>
                <w:rFonts w:ascii="Times New Roman" w:hAnsi="Times New Roman"/>
                <w:sz w:val="20"/>
              </w:rPr>
              <w:t>Mittel</w:t>
            </w:r>
          </w:p>
        </w:tc>
        <w:tc>
          <w:tcPr>
            <w:tcW w:type="dxa" w:w="1814"/>
          </w:tcPr>
          <w:p>
            <w:r>
              <w:rPr>
                <w:rFonts w:ascii="Times New Roman" w:hAnsi="Times New Roman"/>
                <w:sz w:val="20"/>
              </w:rPr>
              <w:t>Erhebliches Risiko</w:t>
            </w:r>
          </w:p>
        </w:tc>
      </w:tr>
      <w:tr>
        <w:tc>
          <w:tcPr>
            <w:tcW w:type="dxa" w:w="1814"/>
          </w:tcPr>
          <w:p>
            <w:r>
              <w:rPr>
                <w:rFonts w:ascii="Times New Roman" w:hAnsi="Times New Roman"/>
                <w:sz w:val="20"/>
              </w:rPr>
              <w:t>DSFA-R-08</w:t>
            </w:r>
          </w:p>
        </w:tc>
        <w:tc>
          <w:tcPr>
            <w:tcW w:type="dxa" w:w="1814"/>
          </w:tcPr>
          <w:p>
            <w:r>
              <w:rPr>
                <w:rFonts w:ascii="Times New Roman" w:hAnsi="Times New Roman"/>
                <w:sz w:val="20"/>
              </w:rPr>
              <w:t>Verkettung mit anderen HR-Systemen (Profilbildung)</w:t>
            </w:r>
          </w:p>
        </w:tc>
        <w:tc>
          <w:tcPr>
            <w:tcW w:type="dxa" w:w="1814"/>
          </w:tcPr>
          <w:p>
            <w:r>
              <w:rPr>
                <w:rFonts w:ascii="Times New Roman" w:hAnsi="Times New Roman"/>
                <w:sz w:val="20"/>
              </w:rPr>
              <w:t>Mittel</w:t>
            </w:r>
          </w:p>
        </w:tc>
        <w:tc>
          <w:tcPr>
            <w:tcW w:type="dxa" w:w="1814"/>
          </w:tcPr>
          <w:p>
            <w:r>
              <w:rPr>
                <w:rFonts w:ascii="Times New Roman" w:hAnsi="Times New Roman"/>
                <w:sz w:val="20"/>
              </w:rPr>
              <w:t>Mittel</w:t>
            </w:r>
          </w:p>
        </w:tc>
        <w:tc>
          <w:tcPr>
            <w:tcW w:type="dxa" w:w="1814"/>
          </w:tcPr>
          <w:p>
            <w:r>
              <w:rPr>
                <w:rFonts w:ascii="Times New Roman" w:hAnsi="Times New Roman"/>
                <w:sz w:val="20"/>
              </w:rPr>
              <w:t>Erhebliches Risiko</w:t>
            </w:r>
          </w:p>
        </w:tc>
      </w:tr>
      <w:tr>
        <w:tc>
          <w:tcPr>
            <w:tcW w:type="dxa" w:w="1814"/>
          </w:tcPr>
          <w:p>
            <w:r>
              <w:rPr>
                <w:rFonts w:ascii="Times New Roman" w:hAnsi="Times New Roman"/>
                <w:sz w:val="20"/>
              </w:rPr>
              <w:t>DSFA-R-09</w:t>
            </w:r>
          </w:p>
        </w:tc>
        <w:tc>
          <w:tcPr>
            <w:tcW w:type="dxa" w:w="1814"/>
          </w:tcPr>
          <w:p>
            <w:r>
              <w:rPr>
                <w:rFonts w:ascii="Times New Roman" w:hAnsi="Times New Roman"/>
                <w:sz w:val="20"/>
              </w:rPr>
              <w:t>Schluechtere oder ausschliessende Wirkung bei Nicht-Muttersprachlern und nicht-linearen Karriereverläufen</w:t>
            </w:r>
          </w:p>
        </w:tc>
        <w:tc>
          <w:tcPr>
            <w:tcW w:type="dxa" w:w="1814"/>
          </w:tcPr>
          <w:p>
            <w:r>
              <w:rPr>
                <w:rFonts w:ascii="Times New Roman" w:hAnsi="Times New Roman"/>
                <w:sz w:val="20"/>
              </w:rPr>
              <w:t>Mittel-Hoch</w:t>
            </w:r>
          </w:p>
        </w:tc>
        <w:tc>
          <w:tcPr>
            <w:tcW w:type="dxa" w:w="1814"/>
          </w:tcPr>
          <w:p>
            <w:r>
              <w:rPr>
                <w:rFonts w:ascii="Times New Roman" w:hAnsi="Times New Roman"/>
                <w:sz w:val="20"/>
              </w:rPr>
              <w:t>Hoch</w:t>
            </w:r>
          </w:p>
        </w:tc>
        <w:tc>
          <w:tcPr>
            <w:tcW w:type="dxa" w:w="1814"/>
          </w:tcPr>
          <w:p>
            <w:r>
              <w:rPr>
                <w:rFonts w:ascii="Times New Roman" w:hAnsi="Times New Roman"/>
                <w:sz w:val="20"/>
              </w:rPr>
              <w:t>Hochrisiko</w:t>
            </w:r>
          </w:p>
        </w:tc>
      </w:tr>
    </w:tbl>
    <w:p>
      <w:pPr>
        <w:pStyle w:val="Heading2"/>
      </w:pPr>
      <w:r>
        <w:rPr>
          <w:rFonts w:ascii="Times New Roman" w:hAnsi="Times New Roman"/>
        </w:rPr>
        <w:t>3. Massnahmen zur Risikominderung</w:t>
      </w:r>
    </w:p>
    <w:p>
      <w:pPr>
        <w:pStyle w:val="Heading3"/>
      </w:pPr>
      <w:r>
        <w:rPr>
          <w:rFonts w:ascii="Times New Roman" w:hAnsi="Times New Roman"/>
        </w:rPr>
        <w:t>3.1 Technisch</w:t>
      </w:r>
    </w:p>
    <w:p>
      <w:pPr>
        <w:pStyle w:val="ListBullet"/>
      </w:pPr>
      <w:r>
        <w:t>EU-Hosting bei MedData Hosting GmbH (Auftragsverarbeiter, AVV vorhanden).</w:t>
      </w:r>
    </w:p>
    <w:p>
      <w:pPr>
        <w:pStyle w:val="ListBullet"/>
      </w:pPr>
      <w:r>
        <w:t>Verschlüsselung in transit (TLS 1.3) und at rest (AES-256).</w:t>
      </w:r>
    </w:p>
    <w:p>
      <w:pPr>
        <w:pStyle w:val="ListBullet"/>
      </w:pPr>
      <w:r>
        <w:t>MFA für Recruiter und Administratoren.</w:t>
      </w:r>
    </w:p>
    <w:p>
      <w:pPr>
        <w:pStyle w:val="ListBullet"/>
      </w:pPr>
      <w:r>
        <w:t>Pen-Test im Q2/2026 (durchgeführt 18.04.2026, Bericht im QMS).</w:t>
      </w:r>
    </w:p>
    <w:p>
      <w:pPr>
        <w:pStyle w:val="ListBullet"/>
      </w:pPr>
      <w:r>
        <w:t>Maskierung von sensiblen Angaben in Bewerbungsunterlagen (Geburtsdatum, Foto, Religion).</w:t>
      </w:r>
    </w:p>
    <w:p>
      <w:pPr>
        <w:pStyle w:val="Heading3"/>
      </w:pPr>
      <w:r>
        <w:rPr>
          <w:rFonts w:ascii="Times New Roman" w:hAnsi="Times New Roman"/>
        </w:rPr>
        <w:t>3.2 Organisatorisch</w:t>
      </w:r>
    </w:p>
    <w:p>
      <w:pPr>
        <w:pStyle w:val="ListBullet"/>
      </w:pPr>
      <w:r>
        <w:t>Bias-Auditbericht mit Überprüfung der Trainings- und Validierungsdaten (Lückenliste Nr. 2 und 3).</w:t>
      </w:r>
    </w:p>
    <w:p>
      <w:pPr>
        <w:pStyle w:val="ListBullet"/>
      </w:pPr>
      <w:r>
        <w:t>Recruiter-Schulung zu KI-Vorschlägen mit Verständnisfragen (Lückenliste Nr. 5).</w:t>
      </w:r>
    </w:p>
    <w:p>
      <w:pPr>
        <w:pStyle w:val="ListBullet"/>
      </w:pPr>
      <w:r>
        <w:t>Verbotsklauseln im Pilotvertrag (keine automatisierte Ablehnung).</w:t>
      </w:r>
    </w:p>
    <w:p>
      <w:pPr>
        <w:pStyle w:val="ListBullet"/>
      </w:pPr>
      <w:r>
        <w:t>Beschwerdemanagement (Art. 19 KI-VO und Art. 12-22 DSGVO).</w:t>
      </w:r>
    </w:p>
    <w:p>
      <w:pPr>
        <w:pStyle w:val="Heading3"/>
      </w:pPr>
      <w:r>
        <w:rPr>
          <w:rFonts w:ascii="Times New Roman" w:hAnsi="Times New Roman"/>
        </w:rPr>
        <w:t>3.3 Rechtsgrundlagen Pruefung</w:t>
      </w:r>
    </w:p>
    <w:p>
      <w:pPr>
        <w:pStyle w:val="ListBullet"/>
      </w:pPr>
      <w:r>
        <w:t>Verarbeitung beruht beim Betreiber (Elbtal Klinikservice gGmbH) auf:</w:t>
      </w:r>
    </w:p>
    <w:p>
      <w:pPr>
        <w:pStyle w:val="ListBullet"/>
      </w:pPr>
      <w:r>
        <w:t>Art. 6 Abs. 1 lit. b) DSGVO (Anbahnung des Arbeitsvertrags) und/oder</w:t>
      </w:r>
    </w:p>
    <w:p>
      <w:pPr>
        <w:pStyle w:val="ListBullet"/>
      </w:pPr>
      <w:r>
        <w:t>§ 26 Abs. 1 BDSG (Bewerbungsverhältnis als beschaeftigungsrechtliche Beziehung)</w:t>
      </w:r>
    </w:p>
    <w:p>
      <w:pPr>
        <w:pStyle w:val="ListBullet"/>
      </w:pPr>
      <w:r>
        <w:t>Art. 9 Abs. 2 lit. b) DSGVO bei zwingender Erforderlichkeit besonderer Kategorien (z.B. Pflegezeugnisse mit Gesundheitsangaben).</w:t>
      </w:r>
    </w:p>
    <w:p>
      <w:pPr>
        <w:pStyle w:val="ListBullet"/>
      </w:pPr>
      <w:r>
        <w:t>Eine besondere Einwilligung nach Art. 9 Abs. 2 lit. a) DSGVO wird nicht eingeholt; sensible Angaben werden grundsätzlich maskiert.</w:t>
      </w:r>
    </w:p>
    <w:p>
      <w:pPr>
        <w:pStyle w:val="Heading2"/>
      </w:pPr>
      <w:r>
        <w:rPr>
          <w:rFonts w:ascii="Times New Roman" w:hAnsi="Times New Roman"/>
        </w:rPr>
        <w:t>4. Konsultation des Datenschutzbeauftragten</w:t>
      </w:r>
    </w:p>
    <w:p>
      <w:pPr>
        <w:jc w:val="left"/>
      </w:pPr>
      <w:r>
        <w:t>Dr. Selma Pesch (DSB der BewerberPilot Score GmbH) hat am 06.05.2026 Stellung genommen:</w:t>
      </w:r>
    </w:p>
    <w:p>
      <w:pPr>
        <w:ind w:left="567"/>
      </w:pPr>
      <w:r>
        <w:rPr>
          <w:i/>
        </w:rPr>
        <w:t>"Das Vorhaben ist datenschutzrechtlich begleitbar. Voraussetzung ist:</w:t>
      </w:r>
    </w:p>
    <w:p>
      <w:pPr>
        <w:ind w:left="567"/>
      </w:pPr>
      <w:r>
        <w:rPr>
          <w:i/>
        </w:rPr>
        <w:t>(1) die abschliessende Bias-Pruefung mit Massnahmen zu DSFA-R-09,</w:t>
      </w:r>
    </w:p>
    <w:p>
      <w:pPr>
        <w:ind w:left="567"/>
      </w:pPr>
      <w:r>
        <w:rPr>
          <w:i/>
        </w:rPr>
        <w:t>(2) die LexiCore-Nachweise zur EU-Region-Verarbeitung,</w:t>
      </w:r>
    </w:p>
    <w:p>
      <w:pPr>
        <w:ind w:left="567"/>
      </w:pPr>
      <w:r>
        <w:rPr>
          <w:i/>
        </w:rPr>
        <w:t>(3) die Information der Bewerbenden über den KI-Einsatz mit klarer Sprache,</w:t>
      </w:r>
    </w:p>
    <w:p>
      <w:pPr>
        <w:ind w:left="567"/>
      </w:pPr>
      <w:r>
        <w:rPr>
          <w:i/>
        </w:rPr>
        <w:t>(4) eine wirksame Widerspruchsmöglichkeit bei Score-Verwendung.</w:t>
      </w:r>
    </w:p>
    <w:p>
      <w:pPr>
        <w:ind w:left="567"/>
      </w:pPr>
      <w:r>
        <w:rPr>
          <w:i/>
        </w:rPr>
        <w:t>Eine vorherige Konsultation der Aufsichtsbehörde nach Art. 36 DSGVO ist Stand heute nicht erforderlich, weil die in Ziffer 3 genannten Massnahmen das Restrisiko unter die Schwelle 'hohes Risiko ohne Risikominderung' bringen sollen."</w:t>
      </w:r>
    </w:p>
    <w:p>
      <w:pPr>
        <w:pStyle w:val="Heading2"/>
      </w:pPr>
      <w:r>
        <w:rPr>
          <w:rFonts w:ascii="Times New Roman" w:hAnsi="Times New Roman"/>
        </w:rPr>
        <w:t>5. Information der Bewerbenden (Art. 13 DSGVO + Art. 26 KI-VO)</w:t>
      </w:r>
    </w:p>
    <w:p>
      <w:pPr>
        <w:jc w:val="left"/>
      </w:pPr>
      <w:r>
        <w:t>Bewerbende erhalten beim Upload folgende Information (Auszug):</w:t>
      </w:r>
    </w:p>
    <w:p>
      <w:pPr>
        <w:ind w:left="567"/>
      </w:pPr>
      <w:r>
        <w:rPr>
          <w:i/>
        </w:rPr>
        <w:t>"Ihre Bewerbungsunterlagen werden mit Unterstützung eines KI-Systems (BewerberPilot TalentRank) gesichtet. Das System hilft Recruiterinnen und Recruitern, die Reihenfolge der Bearbeitung festzulegen und Qualifikationen sichtbar zu machen. Die Entscheidung über Einladung oder Ablehnung trifft eine menschliche Person. Sie haben das Recht, gegen die Verwendung des KI-Systems Widerspruch einzulegen; in diesem Fall wird Ihre Bewerbung ohne KI-Unterstützung bearbeitet."</w:t>
      </w:r>
    </w:p>
    <w:p>
      <w:pPr>
        <w:jc w:val="left"/>
      </w:pPr>
      <w:r>
        <w:t>Diese Information ist in 09_eu_konformitaetserklaerung_anhang_v_entwurf.md mit dem Hinweis zur menschlichen Entscheidung konsistent.</w:t>
      </w:r>
    </w:p>
    <w:p>
      <w:pPr>
        <w:pStyle w:val="Heading2"/>
      </w:pPr>
      <w:r>
        <w:rPr>
          <w:rFonts w:ascii="Times New Roman" w:hAnsi="Times New Roman"/>
        </w:rPr>
        <w:t>6. Verbleibendes Risiko</w:t>
      </w:r>
    </w:p>
    <w:p>
      <w:pPr>
        <w:jc w:val="left"/>
      </w:pPr>
      <w:r>
        <w:t xml:space="preserve">Selbst nach Umsetzung aller Massnahmen besteht ein </w:t>
      </w:r>
      <w:r>
        <w:rPr>
          <w:b/>
        </w:rPr>
        <w:t>Restrisiko</w:t>
      </w:r>
      <w:r>
        <w:t xml:space="preserve"> bei DSFA-R-01 und DSFA-R-09 (diskriminierende Wirkung trotz Bias-Tests). Dieses Risiko ist nicht vollständig auszuschliessen. Die Anbieterin und die Betreiberin verpflichten sich:</w:t>
      </w:r>
    </w:p>
    <w:p>
      <w:pPr>
        <w:pStyle w:val="ListBullet"/>
      </w:pPr>
      <w:r>
        <w:t>Quartalsweise Bias-Berichte (Lückenliste Nr. 2 und 3).</w:t>
      </w:r>
    </w:p>
    <w:p>
      <w:pPr>
        <w:pStyle w:val="ListBullet"/>
      </w:pPr>
      <w:r>
        <w:t>Post-Market-Monitoring mit Indikatoren für Auswahlquoten je Stellenkategorie und Bewerberprofil.</w:t>
      </w:r>
    </w:p>
    <w:p>
      <w:pPr>
        <w:pStyle w:val="ListBullet"/>
      </w:pPr>
      <w:r>
        <w:t>Korrektur bei messbaren Diskriminierungseffekten.</w:t>
      </w:r>
    </w:p>
    <w:p>
      <w:pPr>
        <w:pStyle w:val="Heading2"/>
      </w:pPr>
      <w:r>
        <w:rPr>
          <w:rFonts w:ascii="Times New Roman" w:hAnsi="Times New Roman"/>
        </w:rPr>
        <w:t>7. Entscheidung</w:t>
      </w:r>
    </w:p>
    <w:p>
      <w:pPr>
        <w:jc w:val="left"/>
      </w:pPr>
      <w:r>
        <w:t xml:space="preserve">Die DSFA kommt zu dem Ergebnis, dass der Pilotbetrieb </w:t>
      </w:r>
      <w:r>
        <w:rPr>
          <w:b/>
        </w:rPr>
        <w:t>nach Schliessung der Lückenliste</w:t>
      </w:r>
      <w:r>
        <w:t xml:space="preserve"> datenschutzrechtlich tragbar ist. Eine vorherige Konsultation der Aufsichtsbehörde ist nicht erforderlich. Die DSFA wird quartalsweise aktualisiert und nach Pilotabschluss erneut bewertet.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BewerberPilot Score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BewerberPilot Score GmbH</w:t>
    </w:r>
  </w:p>
  <w:p>
    <w:pPr>
      <w:jc w:val="left"/>
      <w:pBdr>
        <w:bottom w:val="single" w:sz="6" w:space="2" w:color="8A6A1F"/>
      </w:pBdr>
    </w:pPr>
    <w:r>
      <w:rPr>
        <w:rFonts w:ascii="Times New Roman" w:hAnsi="Times New Roman"/>
        <w:color w:val="6B6B66"/>
        <w:sz w:val="16"/>
      </w:rPr>
      <w:t>Koeln (Anbieterin / für Pilotbetrieb auch Auftragsverarbeiterin, soweit relevant)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