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Bias-Audit-Bericht BewerberPilot TalentRank 2.4</w:t>
      </w:r>
    </w:p>
    <w:p>
      <w:pPr>
        <w:jc w:val="left"/>
      </w:pPr>
      <w:r>
        <w:rPr>
          <w:b/>
        </w:rPr>
        <w:t>Auftraggeberin:</w:t>
      </w:r>
      <w:r>
        <w:t xml:space="preserve"> BewerberPilot Score GmbH, Koeln</w:t>
      </w:r>
    </w:p>
    <w:p>
      <w:pPr>
        <w:jc w:val="left"/>
      </w:pPr>
      <w:r>
        <w:rPr>
          <w:b/>
        </w:rPr>
        <w:t>Auftragnehmerin:</w:t>
      </w:r>
      <w:r>
        <w:t xml:space="preserve"> FairnessLab GmbH (externe Prüfstelle), Berlin</w:t>
      </w:r>
    </w:p>
    <w:p>
      <w:pPr>
        <w:jc w:val="left"/>
      </w:pPr>
      <w:r>
        <w:rPr>
          <w:b/>
        </w:rPr>
        <w:t>Auftragsnummer:</w:t>
      </w:r>
      <w:r>
        <w:t xml:space="preserve"> FL-2026-088</w:t>
      </w:r>
    </w:p>
    <w:p>
      <w:pPr>
        <w:jc w:val="left"/>
      </w:pPr>
      <w:r>
        <w:rPr>
          <w:b/>
        </w:rPr>
        <w:t>Berichtsstand:</w:t>
      </w:r>
      <w:r>
        <w:t xml:space="preserve"> v0.4 vom 20.05.2026 (Zwischenbericht)</w:t>
      </w:r>
    </w:p>
    <w:p>
      <w:pPr>
        <w:jc w:val="left"/>
      </w:pPr>
      <w:r>
        <w:rPr>
          <w:b/>
        </w:rPr>
        <w:t>Bearbeitende:</w:t>
      </w:r>
      <w:r>
        <w:t xml:space="preserve"> Dr. Hanna Bock-Mertens (Lead), Tom Wilberforce (Statistik), Naomi Wallenstein (Auditmanagement)</w:t>
      </w:r>
    </w:p>
    <w:p>
      <w:pPr>
        <w:jc w:val="left"/>
      </w:pPr>
      <w:r>
        <w:rPr>
          <w:b/>
        </w:rPr>
        <w:t>Prüfumfang:</w:t>
      </w:r>
      <w:r>
        <w:t xml:space="preserve"> Score-Modell, Ranking-Modell, GPAI-Zusammenfassung (LexiCore Coordinator v3.1)</w:t>
      </w:r>
    </w:p>
    <w:p>
      <w:pPr>
        <w:jc w:val="left"/>
      </w:pPr>
      <w:r>
        <w:rPr>
          <w:b/>
        </w:rPr>
        <w:t>Prüfzeitraum:</w:t>
      </w:r>
      <w:r>
        <w:t xml:space="preserve"> 06.04.2026 bis 18.05.2026</w:t>
      </w:r>
    </w:p>
    <w:p/>
    <w:p>
      <w:pPr>
        <w:pStyle w:val="Heading2"/>
      </w:pPr>
      <w:r>
        <w:rPr>
          <w:rFonts w:ascii="Times New Roman" w:hAnsi="Times New Roman"/>
        </w:rPr>
        <w:t>1. Auftragsumfang</w:t>
      </w:r>
    </w:p>
    <w:p>
      <w:pPr>
        <w:jc w:val="left"/>
      </w:pPr>
      <w:r>
        <w:t>FairnessLab GmbH wurde mit der unabhängigen Auditpruefung des KI-Systems BewerberPilot TalentRank 2.4 auf mögliche diskriminierende Effekte beauftragt. Prüfkriterium ist die Vereinbarkeit mit Art. 10 KI-VO (Daten-Governance) und Art. 15 KI-VO (Robustheit), erweitert um den Diskriminierungsschutz nach §§ 1, 7 AGG sowie Art. 21 GRCh.</w:t>
      </w:r>
    </w:p>
    <w:p>
      <w:pPr>
        <w:pStyle w:val="Heading2"/>
      </w:pPr>
      <w:r>
        <w:rPr>
          <w:rFonts w:ascii="Times New Roman" w:hAnsi="Times New Roman"/>
        </w:rPr>
        <w:t>2. Methodik</w:t>
      </w:r>
    </w:p>
    <w:p>
      <w:pPr>
        <w:pStyle w:val="Heading3"/>
      </w:pPr>
      <w:r>
        <w:rPr>
          <w:rFonts w:ascii="Times New Roman" w:hAnsi="Times New Roman"/>
        </w:rPr>
        <w:t>2.1 Datensätze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Datensatz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Zweck im Audit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D-Train-2024-HR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48.200 Profile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Bias-Identifikation Trainingsdaten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Anbieterin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D-Val-2025-General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 Profile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Validierungsbias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Anbieterin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D-Test-2026-Care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 Profile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Domänenspezifischer Bias (Klinikbereich)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Anbieterin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D-Adverse-Set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 Profile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Robustheit gegenüber Randfällen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FairnessLab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D-Synth-Counterfactual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5.000 Profile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Kontrafaktische Analyse (Surrogatvariablen)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FairnessLab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Fairnessmetriken</w:t>
      </w:r>
    </w:p>
    <w:p>
      <w:pPr>
        <w:jc w:val="left"/>
      </w:pPr>
      <w:r>
        <w:t>Verwendete Metriken:</w:t>
      </w:r>
    </w:p>
    <w:p>
      <w:pPr>
        <w:pStyle w:val="ListNumber"/>
      </w:pPr>
      <w:r>
        <w:rPr>
          <w:b/>
        </w:rPr>
        <w:t>Demographic Parity</w:t>
      </w:r>
      <w:r>
        <w:t xml:space="preserve"> (gleiche Selektionsraten je Gruppe)</w:t>
      </w:r>
    </w:p>
    <w:p>
      <w:pPr>
        <w:pStyle w:val="ListNumber"/>
      </w:pPr>
      <w:r>
        <w:rPr>
          <w:b/>
        </w:rPr>
        <w:t>Equal Opportunity</w:t>
      </w:r>
      <w:r>
        <w:t xml:space="preserve"> (gleiche True-Positive-Rate je Gruppe)</w:t>
      </w:r>
    </w:p>
    <w:p>
      <w:pPr>
        <w:pStyle w:val="ListNumber"/>
      </w:pPr>
      <w:r>
        <w:rPr>
          <w:b/>
        </w:rPr>
        <w:t>Predictive Parity</w:t>
      </w:r>
      <w:r>
        <w:t xml:space="preserve"> (gleicher positiver Vorhersagewert je Gruppe)</w:t>
      </w:r>
    </w:p>
    <w:p>
      <w:pPr>
        <w:pStyle w:val="ListNumber"/>
      </w:pPr>
      <w:r>
        <w:rPr>
          <w:b/>
        </w:rPr>
        <w:t>Calibration within Groups</w:t>
      </w:r>
      <w:r>
        <w:t xml:space="preserve"> (Kalibrierung der Score-Verteilung je Gruppe)</w:t>
      </w:r>
    </w:p>
    <w:p>
      <w:pPr>
        <w:pStyle w:val="ListNumber"/>
      </w:pPr>
      <w:r>
        <w:rPr>
          <w:b/>
        </w:rPr>
        <w:t>Counterfactual Fairness</w:t>
      </w:r>
      <w:r>
        <w:t xml:space="preserve"> (Score-Stabilität bei Surrogatwechsel)</w:t>
      </w:r>
    </w:p>
    <w:p>
      <w:pPr>
        <w:pStyle w:val="Heading3"/>
      </w:pPr>
      <w:r>
        <w:rPr>
          <w:rFonts w:ascii="Times New Roman" w:hAnsi="Times New Roman"/>
        </w:rPr>
        <w:t>2.3 Vergleichsgruppen (Surrogat-Identifikation)</w:t>
      </w:r>
    </w:p>
    <w:p>
      <w:pPr>
        <w:jc w:val="left"/>
      </w:pPr>
      <w:r>
        <w:t xml:space="preserve">Geschlechtsangabe, Religion, Herkunft etc. werden im Modell nicht verarbeitet. Untersuchte </w:t>
      </w:r>
      <w:r>
        <w:rPr>
          <w:b/>
        </w:rPr>
        <w:t>Surrogate</w:t>
      </w:r>
      <w:r>
        <w:t>:</w:t>
      </w:r>
    </w:p>
    <w:p>
      <w:pPr>
        <w:pStyle w:val="ListBullet"/>
      </w:pPr>
      <w:r>
        <w:t>Geschlechtsnahe Vornamen (Distribution nach Statistischem Bundesamt 2020)</w:t>
      </w:r>
    </w:p>
    <w:p>
      <w:pPr>
        <w:pStyle w:val="ListBullet"/>
      </w:pPr>
      <w:r>
        <w:t>Nicht-lineare Karriereverläufe (Lückenmuster, Wechsel-Quoten, Restart-Phase)</w:t>
      </w:r>
    </w:p>
    <w:p>
      <w:pPr>
        <w:pStyle w:val="ListBullet"/>
      </w:pPr>
      <w:r>
        <w:t>Sprachmuster (Nicht-Muttersprachlichkeit über stilometrische Marker)</w:t>
      </w:r>
    </w:p>
    <w:p>
      <w:pPr>
        <w:pStyle w:val="ListBullet"/>
      </w:pPr>
      <w:r>
        <w:t>Pflegeauslandserfahrung (Klinikabschnitte ausserhalb DACH)</w:t>
      </w:r>
    </w:p>
    <w:p>
      <w:pPr>
        <w:pStyle w:val="ListBullet"/>
      </w:pPr>
      <w:r>
        <w:t>Ausbildungsweg (klassisch akademisch vs. Quereinstieg)</w:t>
      </w:r>
    </w:p>
    <w:p>
      <w:pPr>
        <w:pStyle w:val="Heading2"/>
      </w:pPr>
      <w:r>
        <w:rPr>
          <w:rFonts w:ascii="Times New Roman" w:hAnsi="Times New Roman"/>
        </w:rPr>
        <w:t>3. Ergebnisse</w:t>
      </w:r>
    </w:p>
    <w:p>
      <w:pPr>
        <w:pStyle w:val="Heading3"/>
      </w:pPr>
      <w:r>
        <w:rPr>
          <w:rFonts w:ascii="Times New Roman" w:hAnsi="Times New Roman"/>
        </w:rPr>
        <w:t>3.1 Quantitative Ergebnisse (Kernzahlen)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Metrik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Schwelle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Geschlechtsnahe Vornamen (Frauen vs. Männer)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Demographic Parity Difference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0.028 (2.8 Pp.)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Geschlechtsnahe Vornamen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Equal Opportunity Difference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Nicht-lineare Karriereverläufe (Brüche &gt;18 Monate)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Selektionsrate -7.4 Pp.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-0.074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Massnahme erforderlich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Sprachliche Nicht-Muttersprachlichkeit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Selektionsrate -5.1 Pp.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-0.051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Massnahme erforderlich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Pflegeauslandserfahrung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Selektionsrate -3.2 Pp.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-0.032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Ausbildungsweg Quereinstieg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Selektionsrate -2.7 Pp.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-0.027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&lt;0.05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Qualitative Ergebnisse (Erklaermerkmale)</w:t>
      </w:r>
    </w:p>
    <w:p>
      <w:pPr>
        <w:jc w:val="left"/>
      </w:pPr>
      <w:r>
        <w:t xml:space="preserve">Die Erklaermerkmale des Score-Modells betonen "Berufserfahrung kontinuierlich", "Abschluss klassisch" und "muttersprachliches Anschreiben". Diese Erklaermerkmale sind </w:t>
      </w:r>
      <w:r>
        <w:rPr>
          <w:b/>
        </w:rPr>
        <w:t>unmittelbar Ursache</w:t>
      </w:r>
      <w:r>
        <w:t xml:space="preserve"> der quantitativen Effekte bei nicht-linearen Karriereverläufen und Sprachmustern.</w:t>
      </w:r>
    </w:p>
    <w:p>
      <w:pPr>
        <w:pStyle w:val="Heading3"/>
      </w:pPr>
      <w:r>
        <w:rPr>
          <w:rFonts w:ascii="Times New Roman" w:hAnsi="Times New Roman"/>
        </w:rPr>
        <w:t>3.3 GPAI-Komponente LexiCore Coordinator v3.1</w:t>
      </w:r>
    </w:p>
    <w:p>
      <w:pPr>
        <w:jc w:val="left"/>
      </w:pPr>
      <w:r>
        <w:t>Stichprobenprüfung von 200 Zusammenfassungen (100 deutsch, 100 englisch):</w:t>
      </w:r>
    </w:p>
    <w:p>
      <w:pPr>
        <w:pStyle w:val="ListBullet"/>
      </w:pPr>
      <w:r>
        <w:t>84 % der Zusammenfassungen sind sachlich korrekt.</w:t>
      </w:r>
    </w:p>
    <w:p>
      <w:pPr>
        <w:pStyle w:val="ListBullet"/>
      </w:pPr>
      <w:r>
        <w:t>11 % enthalten leichte Verzerrungen ("der Kandidat" wo "die Bewerberin" angemessen wäre).</w:t>
      </w:r>
    </w:p>
    <w:p>
      <w:pPr>
        <w:pStyle w:val="ListBullet"/>
      </w:pPr>
      <w:r>
        <w:t>5 % enthalten Halluzinationen (z.B. erfundene Studiengänge, falsche Zertifikatsbezeichnungen).</w:t>
      </w:r>
    </w:p>
    <w:p>
      <w:pPr>
        <w:pStyle w:val="ListBullet"/>
      </w:pPr>
      <w:r>
        <w:t>Quellenanker (Wortlaut-Zitat aus Bewerbungsunterlagen) ist in 73 % der Fälle korrekt zugeordnet.</w:t>
      </w:r>
    </w:p>
    <w:p>
      <w:pPr>
        <w:jc w:val="left"/>
      </w:pPr>
      <w:r>
        <w:t>Eine Modellversion-Spezifikation ("Coordinator v3.1.0" vs. "v3.1.2" vs. "v3.2") wurde von LexiCore Systems Inc. trotz Nachfrage nicht präzisiert. Die Bias-Bewertung der GPAI-Komponente ist daher mit einer Unsicherheit von einer Stufe (vor/nach Modellupdate) zu lesen.</w:t>
      </w:r>
    </w:p>
    <w:p>
      <w:pPr>
        <w:pStyle w:val="Heading2"/>
      </w:pPr>
      <w:r>
        <w:rPr>
          <w:rFonts w:ascii="Times New Roman" w:hAnsi="Times New Roman"/>
        </w:rPr>
        <w:t>4. Massnahmen</w:t>
      </w:r>
    </w:p>
    <w:p>
      <w:pPr>
        <w:pStyle w:val="Heading3"/>
      </w:pPr>
      <w:r>
        <w:rPr>
          <w:rFonts w:ascii="Times New Roman" w:hAnsi="Times New Roman"/>
        </w:rPr>
        <w:t>4.1 Sofortige Massnahmen (vor Pilotstart)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 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Featuregewichtung "Karriere-Linearität" reduzieren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ML Lead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-50 % Effekt bei nicht-linearen Verläufen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Featuregewichtung "Sprachmuster" reduzieren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ML Lead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-50 % Effekt bei Nicht-Muttersprachlichkeit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Review-Set um 1.500 Profile mit nicht-linearen Verläufen erweitern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 Governance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bessere Kalibrierung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LexiCore-Modellversion präzisieren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Vendor Management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Nachvollziehbarkeit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Quellenanker-Anzeige im UI stärken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UX Team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weniger Halluzinationswirkung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Halluzinationen-Limit (Modellguardrails) verschärfen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ML Lead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weniger Falschangaben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Recruiter-Schulung mit Bias-Sensibilisierung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Product Compliance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menschliche Korrektur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Begleitende Massnahmen (Pilot)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 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Monatlicher Bias-Bericht Pilot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FairnessLab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erstmals 31.08.2026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Früherkennung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Recruiter-Override-Quote im Pilot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Product Compliance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Indikator Vertrauen/Misstrauen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Bewerber-Beschwerden auswerten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Customer Success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Realfeedback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Empfehlung</w:t>
      </w:r>
    </w:p>
    <w:p>
      <w:pPr>
        <w:jc w:val="left"/>
      </w:pPr>
      <w:r>
        <w:t xml:space="preserve">Der Bias-Auditbericht empfiehlt, die EU-Konformitätserklärung </w:t>
      </w:r>
      <w:r>
        <w:rPr>
          <w:b/>
        </w:rPr>
        <w:t>erst nach Umsetzung</w:t>
      </w:r>
      <w:r>
        <w:t xml:space="preserve"> der unter 4.1 genannten sofortigen Massnahmen </w:t>
      </w:r>
      <w:r>
        <w:rPr>
          <w:b/>
        </w:rPr>
        <w:t>und nach Nachweis der Wirkung</w:t>
      </w:r>
      <w:r>
        <w:t xml:space="preserve"> in einem Folgeaudit zu unterzeichnen. Eine Pilotfreigabe ist mit den oben genannten begleitenden Massnahmen verantwortbar.</w:t>
      </w:r>
    </w:p>
    <w:p>
      <w:pPr>
        <w:pStyle w:val="Heading2"/>
      </w:pPr>
      <w:r>
        <w:rPr>
          <w:rFonts w:ascii="Times New Roman" w:hAnsi="Times New Roman"/>
        </w:rPr>
        <w:t>6. Restrisiko und Auditgrenze</w:t>
      </w:r>
    </w:p>
    <w:p>
      <w:pPr>
        <w:pStyle w:val="ListBullet"/>
      </w:pPr>
      <w:r>
        <w:t>Der Auditbericht stützt sich auf die von der Anbieterin bereitgestellten Datensätze. Eine Eigenermittlung von Diskriminierung in der realen Welt ist nicht möglich.</w:t>
      </w:r>
    </w:p>
    <w:p>
      <w:pPr>
        <w:pStyle w:val="ListBullet"/>
      </w:pPr>
      <w:r>
        <w:t>Die LexiCore-Modellversion ist nicht abschliessend geklärt; ein zukünftiges Modellupdate kann die Befunde ändern.</w:t>
      </w:r>
    </w:p>
    <w:p>
      <w:pPr>
        <w:pStyle w:val="ListBullet"/>
      </w:pPr>
      <w:r>
        <w:t>Die Surrogate sind überlappend (z.B. korreliert "Sprachmuster" mit "Pflegeauslandserfahrung"). Eine vollständige Entkopplung ist nicht möglich.</w:t>
      </w:r>
    </w:p>
    <w:p>
      <w:pPr>
        <w:pStyle w:val="Heading2"/>
      </w:pPr>
      <w:r>
        <w:rPr>
          <w:rFonts w:ascii="Times New Roman" w:hAnsi="Times New Roman"/>
        </w:rPr>
        <w:t>7. Unterzeichnung</w:t>
      </w:r>
    </w:p>
    <w:p>
      <w:pPr>
        <w:jc w:val="left"/>
      </w:pPr>
      <w:r>
        <w:t>Berlin, 20.05.2026</w:t>
      </w:r>
    </w:p>
    <w:p>
      <w:pPr>
        <w:jc w:val="left"/>
      </w:pPr>
      <w:r>
        <w:t>Dr. Hanna Bock-Mertens</w:t>
      </w:r>
    </w:p>
    <w:p>
      <w:pPr>
        <w:jc w:val="left"/>
      </w:pPr>
      <w:r>
        <w:t>Lead Auditor, FairnessLab GmbH</w:t>
      </w:r>
    </w:p>
    <w:p>
      <w:pPr>
        <w:jc w:val="left"/>
      </w:pPr>
      <w:r>
        <w:t>Naomi Wallenstein</w:t>
      </w:r>
    </w:p>
    <w:p>
      <w:pPr>
        <w:jc w:val="left"/>
      </w:pPr>
      <w:r>
        <w:t>Audit Manager, FairnessLab GmbH</w:t>
      </w:r>
    </w:p>
    <w:p>
      <w:pPr>
        <w:jc w:val="left"/>
      </w:pPr>
      <w:r>
        <w:t>Honorar Zwischenbericht: 18.500 EUR netto. Schlussbericht nach Wirkungsprüfung voraussichtlich 14.07.2026; Honorar: 12.000 EUR netto.</w:t>
      </w:r>
    </w:p>
    <w:p/>
    <w:p>
      <w:pPr>
        <w:pStyle w:val="Heading2"/>
      </w:pPr>
      <w:r>
        <w:rPr>
          <w:rFonts w:ascii="Times New Roman" w:hAnsi="Times New Roman"/>
        </w:rPr>
        <w:t>Anmerkung der BewerberPilot Score GmbH (Caspar Lintorf, 23.05.2026)</w:t>
      </w:r>
    </w:p>
    <w:p>
      <w:pPr>
        <w:jc w:val="left"/>
      </w:pPr>
      <w:r>
        <w:t xml:space="preserve">Die Befunde sind in 10_lueckenliste_massnahmenplan.md übernommen (Nr. 2, 3 und 4). Die Pilotfreigabe wird </w:t>
      </w:r>
      <w:r>
        <w:rPr>
          <w:b/>
        </w:rPr>
        <w:t>nur</w:t>
      </w:r>
      <w:r>
        <w:t xml:space="preserve"> ausgesprochen, wenn die Wirkungsprüfung bis 06.07.2026 erfolgreich abgeschlossen ist. Eine "Notpilot"-Variante ist nicht vorgesehen.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BewerberPilot Score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BewerberPilot Score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Koeln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