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Katechetische Notiz: Gericht, Hölle, Umkehr und Barmherzigkeit</w:t>
      </w:r>
    </w:p>
    <w:p>
      <w:pPr>
        <w:jc w:val="left"/>
      </w:pPr>
      <w:r>
        <w:t>Die katholische Lehre spricht ernsthaft von Gericht, Freiheit, Sünde und der Möglichkeit endgültiger Selbstverschließung gegen Gott. Die Rede von Hölle ist kein Instrument, um Menschen kleinzumachen, sondern ein Ruf zur Verantwortung und zur Umkehr.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Katechetische Notiz: Gericht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Katechetische Notiz: Gericht</w:t>
    </w:r>
  </w:p>
  <w:p>
    <w:pPr>
      <w:jc w:val="left"/>
      <w:pBdr>
        <w:bottom w:val="single" w:sz="6" w:space="2" w:color="3B3F45"/>
      </w:pBdr>
    </w:pPr>
    <w:r>
      <w:rPr>
        <w:rFonts w:ascii="Times New Roman" w:hAnsi="Times New Roman"/>
        <w:color w:val="6B6B66"/>
        <w:sz w:val="16"/>
      </w:rPr>
      <w:t>Hölle, Umkehr und Barmherzigkeit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