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Notifizierung an die EU-Kommission gemäß Richtlinie (EU) 2015/1535</w:t>
      </w:r>
    </w:p>
    <w:p>
      <w:pPr>
        <w:jc w:val="left"/>
      </w:pPr>
      <w:r>
        <w:rPr>
          <w:b/>
        </w:rPr>
        <w:t>Mitgliedstaat:</w:t>
      </w:r>
      <w:r>
        <w:t xml:space="preserve"> Bundesrepublik Deutschland</w:t>
      </w:r>
    </w:p>
    <w:p>
      <w:pPr>
        <w:jc w:val="left"/>
      </w:pPr>
      <w:r>
        <w:rPr>
          <w:b/>
        </w:rPr>
        <w:t>Notifizierende Behörde:</w:t>
      </w:r>
      <w:r>
        <w:t xml:space="preserve"> Bundesministerium der Justiz</w:t>
      </w:r>
    </w:p>
    <w:p>
      <w:pPr>
        <w:jc w:val="left"/>
      </w:pPr>
      <w:r>
        <w:rPr>
          <w:b/>
        </w:rPr>
        <w:t>Datum der Notifizierung:</w:t>
      </w:r>
      <w:r>
        <w:t xml:space="preserve"> 15. Januar 2027</w:t>
      </w:r>
    </w:p>
    <w:p>
      <w:pPr>
        <w:jc w:val="left"/>
      </w:pPr>
      <w:r>
        <w:rPr>
          <w:b/>
        </w:rPr>
        <w:t>Stillhaltefrist:</w:t>
      </w:r>
      <w:r>
        <w:t xml:space="preserve"> 15. Januar 2027 bis 15. April 2027 (drei Monate)</w:t>
      </w:r>
    </w:p>
    <w:p/>
    <w:p>
      <w:pPr>
        <w:pStyle w:val="Heading2"/>
      </w:pPr>
      <w:r>
        <w:rPr>
          <w:rFonts w:ascii="Times New Roman" w:hAnsi="Times New Roman"/>
        </w:rPr>
        <w:t>I. Identifizierung des Entwurfs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Wert</w:t>
            </w:r>
          </w:p>
        </w:tc>
      </w:tr>
      <w:tr>
        <w:tc>
          <w:tcPr>
            <w:tcW w:type="dxa" w:w="4536"/>
          </w:tcPr>
          <w:p>
            <w:r>
              <w:rPr>
                <w:rFonts w:ascii="Times New Roman" w:hAnsi="Times New Roman"/>
                <w:sz w:val="20"/>
              </w:rPr>
              <w:t>Notifizierungs-Nummer</w:t>
            </w:r>
          </w:p>
        </w:tc>
        <w:tc>
          <w:tcPr>
            <w:tcW w:type="dxa" w:w="4536"/>
          </w:tcPr>
          <w:p>
            <w:r>
              <w:rPr>
                <w:rFonts w:ascii="Times New Roman" w:hAnsi="Times New Roman"/>
                <w:sz w:val="20"/>
              </w:rPr>
              <w:t>2027/15/D</w:t>
            </w:r>
          </w:p>
        </w:tc>
      </w:tr>
      <w:tr>
        <w:tc>
          <w:tcPr>
            <w:tcW w:type="dxa" w:w="4536"/>
          </w:tcPr>
          <w:p>
            <w:r>
              <w:rPr>
                <w:rFonts w:ascii="Times New Roman" w:hAnsi="Times New Roman"/>
                <w:sz w:val="20"/>
              </w:rPr>
              <w:t>Mitgliedstaat</w:t>
            </w:r>
          </w:p>
        </w:tc>
        <w:tc>
          <w:tcPr>
            <w:tcW w:type="dxa" w:w="4536"/>
          </w:tcPr>
          <w:p>
            <w:r>
              <w:rPr>
                <w:rFonts w:ascii="Times New Roman" w:hAnsi="Times New Roman"/>
                <w:sz w:val="20"/>
              </w:rPr>
              <w:t>DE — Deutschland</w:t>
            </w:r>
          </w:p>
        </w:tc>
      </w:tr>
      <w:tr>
        <w:tc>
          <w:tcPr>
            <w:tcW w:type="dxa" w:w="4536"/>
          </w:tcPr>
          <w:p>
            <w:r>
              <w:rPr>
                <w:rFonts w:ascii="Times New Roman" w:hAnsi="Times New Roman"/>
                <w:sz w:val="20"/>
              </w:rPr>
              <w:t>Beförderndes Ministerium</w:t>
            </w:r>
          </w:p>
        </w:tc>
        <w:tc>
          <w:tcPr>
            <w:tcW w:type="dxa" w:w="4536"/>
          </w:tcPr>
          <w:p>
            <w:r>
              <w:rPr>
                <w:rFonts w:ascii="Times New Roman" w:hAnsi="Times New Roman"/>
                <w:sz w:val="20"/>
              </w:rPr>
              <w:t>Bundesministerium der Justiz</w:t>
            </w:r>
          </w:p>
        </w:tc>
      </w:tr>
      <w:tr>
        <w:tc>
          <w:tcPr>
            <w:tcW w:type="dxa" w:w="4536"/>
          </w:tcPr>
          <w:p>
            <w:r>
              <w:rPr>
                <w:rFonts w:ascii="Times New Roman" w:hAnsi="Times New Roman"/>
                <w:sz w:val="20"/>
              </w:rPr>
              <w:t>Titel des Entwurfs</w:t>
            </w:r>
          </w:p>
        </w:tc>
        <w:tc>
          <w:tcPr>
            <w:tcW w:type="dxa" w:w="4536"/>
          </w:tcPr>
          <w:p>
            <w:r>
              <w:rPr>
                <w:rFonts w:ascii="Times New Roman" w:hAnsi="Times New Roman"/>
                <w:sz w:val="20"/>
              </w:rPr>
              <w:t>Gesetz über das elektronische Pflichtpostfach (Pflichtpostfachgesetz — PflPostG) und zur Änderung weiterer Gesetze</w:t>
            </w:r>
          </w:p>
        </w:tc>
      </w:tr>
      <w:tr>
        <w:tc>
          <w:tcPr>
            <w:tcW w:type="dxa" w:w="4536"/>
          </w:tcPr>
          <w:p>
            <w:r>
              <w:rPr>
                <w:rFonts w:ascii="Times New Roman" w:hAnsi="Times New Roman"/>
                <w:sz w:val="20"/>
              </w:rPr>
              <w:t>Kurztitel</w:t>
            </w:r>
          </w:p>
        </w:tc>
        <w:tc>
          <w:tcPr>
            <w:tcW w:type="dxa" w:w="4536"/>
          </w:tcPr>
          <w:p>
            <w:r>
              <w:rPr>
                <w:rFonts w:ascii="Times New Roman" w:hAnsi="Times New Roman"/>
                <w:sz w:val="20"/>
              </w:rPr>
              <w:t>PflPostG</w:t>
            </w:r>
          </w:p>
        </w:tc>
      </w:tr>
      <w:tr>
        <w:tc>
          <w:tcPr>
            <w:tcW w:type="dxa" w:w="4536"/>
          </w:tcPr>
          <w:p>
            <w:r>
              <w:rPr>
                <w:rFonts w:ascii="Times New Roman" w:hAnsi="Times New Roman"/>
                <w:sz w:val="20"/>
              </w:rPr>
              <w:t>Anwendungsbereich</w:t>
            </w:r>
          </w:p>
        </w:tc>
        <w:tc>
          <w:tcPr>
            <w:tcW w:type="dxa" w:w="4536"/>
          </w:tcPr>
          <w:p>
            <w:r>
              <w:rPr>
                <w:rFonts w:ascii="Times New Roman" w:hAnsi="Times New Roman"/>
                <w:sz w:val="20"/>
              </w:rPr>
              <w:t>Sektor: Dienstleistungen der Informationsgesellschaft, Telekommunikation</w:t>
            </w:r>
          </w:p>
        </w:tc>
      </w:tr>
      <w:tr>
        <w:tc>
          <w:tcPr>
            <w:tcW w:type="dxa" w:w="4536"/>
          </w:tcPr>
          <w:p>
            <w:r>
              <w:rPr>
                <w:rFonts w:ascii="Times New Roman" w:hAnsi="Times New Roman"/>
                <w:sz w:val="20"/>
              </w:rPr>
              <w:t>Dauer der Stillhaltefrist</w:t>
            </w:r>
          </w:p>
        </w:tc>
        <w:tc>
          <w:tcPr>
            <w:tcW w:type="dxa" w:w="4536"/>
          </w:tcPr>
          <w:p>
            <w:r>
              <w:rPr>
                <w:rFonts w:ascii="Times New Roman" w:hAnsi="Times New Roman"/>
                <w:sz w:val="20"/>
              </w:rPr>
              <w:t>3 Monate (Art. 6 Abs. 1 der Richtlinie)</w:t>
            </w:r>
          </w:p>
        </w:tc>
      </w:tr>
    </w:tbl>
    <w:p/>
    <w:p>
      <w:pPr>
        <w:pStyle w:val="Heading2"/>
      </w:pPr>
      <w:r>
        <w:rPr>
          <w:rFonts w:ascii="Times New Roman" w:hAnsi="Times New Roman"/>
        </w:rPr>
        <w:t>II. Inhalt des Entwurfs</w:t>
      </w:r>
    </w:p>
    <w:p>
      <w:pPr>
        <w:pStyle w:val="Heading3"/>
      </w:pPr>
      <w:r>
        <w:rPr>
          <w:rFonts w:ascii="Times New Roman" w:hAnsi="Times New Roman"/>
        </w:rPr>
        <w:t>1. Hauptbestandteile</w:t>
      </w:r>
    </w:p>
    <w:p>
      <w:pPr>
        <w:jc w:val="left"/>
      </w:pPr>
      <w:r>
        <w:t xml:space="preserve">Der Entwurf führt ein </w:t>
      </w:r>
      <w:r>
        <w:rPr>
          <w:b/>
        </w:rPr>
        <w:t>Pflichtpostfachgesetz</w:t>
      </w:r>
      <w:r>
        <w:t xml:space="preserve"> ein, das</w:t>
      </w:r>
    </w:p>
    <w:p>
      <w:pPr>
        <w:jc w:val="left"/>
      </w:pPr>
      <w:r>
        <w:t>a) im Handelsregister eingetragene Gesellschaften und ihre inländischen Zweigniederlassungen verpflichtet, ein elektronisches Postfach mit Identifizierungs-Niveau "hoch" gemäß eIDAS-Verordnung vorzuhalten,</w:t>
      </w:r>
    </w:p>
    <w:p>
      <w:pPr>
        <w:jc w:val="left"/>
      </w:pPr>
      <w:r>
        <w:t>b) Anbieter sehr großer Online-Plattformen und sehr großer Online-Suchmaschinen im Sinne des Artikels 33 der Verordnung (EU) 2022/2065 (Digital Services Act) ebenfalls zur Vorhaltung eines solchen Postfachs verpflichtet,</w:t>
      </w:r>
    </w:p>
    <w:p>
      <w:pPr>
        <w:jc w:val="left"/>
      </w:pPr>
      <w:r>
        <w:t>c) die Interoperabilität mit beA, beBPo, eBO und Nutzerkonto Bund regelt,</w:t>
      </w:r>
    </w:p>
    <w:p>
      <w:pPr>
        <w:jc w:val="left"/>
      </w:pPr>
      <w:r>
        <w:t>d) eine Verordnungs-Ermächtigung für die technische Konkretisierung enthält,</w:t>
      </w:r>
    </w:p>
    <w:p>
      <w:pPr>
        <w:jc w:val="left"/>
      </w:pPr>
      <w:r>
        <w:t>e) eine Bußgeld-Bewehrung (bis 10.000 EUR) vorsieht,</w:t>
      </w:r>
    </w:p>
    <w:p>
      <w:pPr>
        <w:jc w:val="left"/>
      </w:pPr>
      <w:r>
        <w:t>f) Folgeänderungen in HGB, ZPO, FamFG, VwZG, AO und weiteren Gesetzen vornimmt.</w:t>
      </w:r>
    </w:p>
    <w:p>
      <w:pPr>
        <w:pStyle w:val="Heading3"/>
      </w:pPr>
      <w:r>
        <w:rPr>
          <w:rFonts w:ascii="Times New Roman" w:hAnsi="Times New Roman"/>
        </w:rPr>
        <w:t>2. Technische Vorschriften</w:t>
      </w:r>
    </w:p>
    <w:p>
      <w:pPr>
        <w:jc w:val="left"/>
      </w:pPr>
      <w:r>
        <w:t xml:space="preserve">Der Entwurf enthält folgende </w:t>
      </w:r>
      <w:r>
        <w:rPr>
          <w:b/>
        </w:rPr>
        <w:t>technische Vorschriften</w:t>
      </w:r>
      <w:r>
        <w:t xml:space="preserve"> im Sinne von Artikel 1 Nummer 1 Buchstabe f der Richtlinie (EU) 2015/1535:</w:t>
      </w:r>
    </w:p>
    <w:p>
      <w:pPr>
        <w:pStyle w:val="ListBullet"/>
      </w:pPr>
      <w:r>
        <w:rPr>
          <w:b/>
        </w:rPr>
        <w:t>§ 2 Nr. 1 PflPostG</w:t>
      </w:r>
      <w:r>
        <w:t>: Definition Pflichtpostfach mit Bezug auf eIDAS-Identifizierungsniveau "hoch"</w:t>
      </w:r>
    </w:p>
    <w:p>
      <w:pPr>
        <w:pStyle w:val="ListBullet"/>
      </w:pPr>
      <w:r>
        <w:rPr>
          <w:b/>
        </w:rPr>
        <w:t>§ 4 PflPostG</w:t>
      </w:r>
      <w:r>
        <w:t>: Interoperabilitäts-Anforderungen</w:t>
      </w:r>
    </w:p>
    <w:p>
      <w:pPr>
        <w:pStyle w:val="ListBullet"/>
      </w:pPr>
      <w:r>
        <w:rPr>
          <w:b/>
        </w:rPr>
        <w:t>§ 5 PflPostG</w:t>
      </w:r>
      <w:r>
        <w:t>: Verordnungsermächtigung mit technischen Mindestanforderungen</w:t>
      </w:r>
    </w:p>
    <w:p>
      <w:pPr>
        <w:pStyle w:val="ListBullet"/>
      </w:pPr>
      <w:r>
        <w:rPr>
          <w:b/>
        </w:rPr>
        <w:t>§ 8 PflPostG</w:t>
      </w:r>
      <w:r>
        <w:t>: Übergangs-Regelungen mit gestaffelten Fristen</w:t>
      </w:r>
    </w:p>
    <w:p>
      <w:pPr>
        <w:jc w:val="left"/>
      </w:pPr>
      <w:r>
        <w:t>Diese Vorschriften betreffen Dienstleistungen der Informationsgesellschaft im Sinne von Artikel 1 Nummer 1 Buchstabe b der Richtlinie und sind als technische Vorschriften notifizierungspflichtig.</w:t>
      </w:r>
    </w:p>
    <w:p>
      <w:pPr>
        <w:pStyle w:val="Heading3"/>
      </w:pPr>
      <w:r>
        <w:rPr>
          <w:rFonts w:ascii="Times New Roman" w:hAnsi="Times New Roman"/>
        </w:rPr>
        <w:t>3. Sektor</w:t>
      </w:r>
    </w:p>
    <w:p>
      <w:pPr>
        <w:jc w:val="left"/>
      </w:pPr>
      <w:r>
        <w:t>Der Entwurf betrifft die Sektoren</w:t>
      </w:r>
    </w:p>
    <w:p>
      <w:pPr>
        <w:pStyle w:val="ListBullet"/>
      </w:pPr>
      <w:r>
        <w:rPr>
          <w:b/>
        </w:rPr>
        <w:t>Telekommunikation</w:t>
      </w:r>
    </w:p>
    <w:p>
      <w:pPr>
        <w:pStyle w:val="ListBullet"/>
      </w:pPr>
      <w:r>
        <w:rPr>
          <w:b/>
        </w:rPr>
        <w:t>Dienstleistungen der Informationsgesellschaft</w:t>
      </w:r>
    </w:p>
    <w:p>
      <w:pPr>
        <w:pStyle w:val="ListBullet"/>
      </w:pPr>
      <w:r>
        <w:rPr>
          <w:b/>
        </w:rPr>
        <w:t>Elektronische Kommunikation</w:t>
      </w:r>
    </w:p>
    <w:p>
      <w:pPr>
        <w:pStyle w:val="ListBullet"/>
      </w:pPr>
      <w:r>
        <w:rPr>
          <w:b/>
        </w:rPr>
        <w:t>Rechtspflege und Verwaltungsverfahren</w:t>
      </w:r>
    </w:p>
    <w:p>
      <w:pPr>
        <w:pStyle w:val="Heading3"/>
      </w:pPr>
      <w:r>
        <w:rPr>
          <w:rFonts w:ascii="Times New Roman" w:hAnsi="Times New Roman"/>
        </w:rPr>
        <w:t>4. Verhältnis zu unionsrechtlichen Vorgaben</w:t>
      </w:r>
    </w:p>
    <w:p>
      <w:pPr>
        <w:jc w:val="left"/>
      </w:pPr>
      <w:r>
        <w:t>Der Entwurf</w:t>
      </w:r>
    </w:p>
    <w:p>
      <w:pPr>
        <w:jc w:val="left"/>
      </w:pPr>
      <w:r>
        <w:t xml:space="preserve">a) </w:t>
      </w:r>
      <w:r>
        <w:rPr>
          <w:b/>
        </w:rPr>
        <w:t>vollzieht</w:t>
      </w:r>
      <w:r>
        <w:t xml:space="preserve"> die Verordnung (EU) 2022/2065 (Digital Services Act) hinsichtlich der erhöhten Erreichbarkeit von Anbietern sehr großer Online-Plattformen für Mitgliedstaaten-Behörden,</w:t>
      </w:r>
    </w:p>
    <w:p>
      <w:pPr>
        <w:jc w:val="left"/>
      </w:pPr>
      <w:r>
        <w:t xml:space="preserve">b) </w:t>
      </w:r>
      <w:r>
        <w:rPr>
          <w:b/>
        </w:rPr>
        <w:t>verbindet</w:t>
      </w:r>
      <w:r>
        <w:t xml:space="preserve"> die nationale Rechtskommunikation mit den Anforderungen der Verordnung (EU) Nr. 910/2014 (eIDAS), insbesondere mit dem Vertrauensniveau "hoch",</w:t>
      </w:r>
    </w:p>
    <w:p>
      <w:pPr>
        <w:jc w:val="left"/>
      </w:pPr>
      <w:r>
        <w:t xml:space="preserve">c) </w:t>
      </w:r>
      <w:r>
        <w:rPr>
          <w:b/>
        </w:rPr>
        <w:t>berücksichtigt</w:t>
      </w:r>
      <w:r>
        <w:t xml:space="preserve"> die Verordnung (EU) 2024/1183 (eIDAS 2.0) und die Verordnung (EU) 2019/882 (European Accessibility Act),</w:t>
      </w:r>
    </w:p>
    <w:p>
      <w:pPr>
        <w:jc w:val="left"/>
      </w:pPr>
      <w:r>
        <w:t xml:space="preserve">d) </w:t>
      </w:r>
      <w:r>
        <w:rPr>
          <w:b/>
        </w:rPr>
        <w:t>harmoniert</w:t>
      </w:r>
      <w:r>
        <w:t xml:space="preserve"> mit der Richtlinie (EU) 2022/2555 (NIS-2) durch entsprechende Sicherheits-Anforderungen.</w:t>
      </w:r>
    </w:p>
    <w:p>
      <w:pPr>
        <w:pStyle w:val="Heading3"/>
      </w:pPr>
      <w:r>
        <w:rPr>
          <w:rFonts w:ascii="Times New Roman" w:hAnsi="Times New Roman"/>
        </w:rPr>
        <w:t>5. Begründung der Notifizierung</w:t>
      </w:r>
    </w:p>
    <w:p>
      <w:pPr>
        <w:jc w:val="left"/>
      </w:pPr>
      <w:r>
        <w:t>Der Entwurf enthält technische Vorschriften im Sinne der Richtlinie (EU) 2015/1535. Daher ist eine Notifizierung gemäß Artikel 5 der Richtlinie erforderlich, bevor der Entwurf vom Bundestag verabschiedet wird.</w:t>
      </w:r>
    </w:p>
    <w:p>
      <w:pPr>
        <w:jc w:val="left"/>
      </w:pPr>
      <w:r>
        <w:t>Die Notifizierung erfolgt vor Schlussabstimmung des Bundeskabinetts. Die dreimonatige Stillhaltefrist (Artikel 6 Absatz 1 der Richtlinie) wird vor Verabschiedung gewahrt.</w:t>
      </w:r>
    </w:p>
    <w:p>
      <w:pPr>
        <w:pStyle w:val="Heading3"/>
      </w:pPr>
      <w:r>
        <w:rPr>
          <w:rFonts w:ascii="Times New Roman" w:hAnsi="Times New Roman"/>
        </w:rPr>
        <w:t>6. Möglichkeit verlängerter Stillhaltefrist</w:t>
      </w:r>
    </w:p>
    <w:p>
      <w:pPr>
        <w:jc w:val="left"/>
      </w:pPr>
      <w:r>
        <w:t>Bei</w:t>
      </w:r>
    </w:p>
    <w:p>
      <w:pPr>
        <w:jc w:val="left"/>
      </w:pPr>
      <w:r>
        <w:t xml:space="preserve">a) </w:t>
      </w:r>
      <w:r>
        <w:rPr>
          <w:b/>
        </w:rPr>
        <w:t>substantieller Stellungnahme</w:t>
      </w:r>
      <w:r>
        <w:t xml:space="preserve"> der Kommission oder eines anderen Mitgliedstaats — verlängerte Stillhaltefrist um drei weitere Monate auf insgesamt sechs Monate (Artikel 6 Absatz 2 der Richtlinie),</w:t>
      </w:r>
    </w:p>
    <w:p>
      <w:pPr>
        <w:jc w:val="left"/>
      </w:pPr>
      <w:r>
        <w:t xml:space="preserve">b) </w:t>
      </w:r>
      <w:r>
        <w:rPr>
          <w:b/>
        </w:rPr>
        <w:t>schwerwiegender Einwendung</w:t>
      </w:r>
      <w:r>
        <w:t xml:space="preserve"> der Kommission — Stillhaltefrist kann auf zwölf Monate verlängert werden.</w:t>
      </w:r>
    </w:p>
    <w:p>
      <w:pPr>
        <w:jc w:val="left"/>
      </w:pPr>
      <w:r>
        <w:t>Die Bundesregierung wird die Stillhaltefrist eng beobachten und ggf. Anpassungen vornehmen, bevor das Gesetz verabschiedet wird.</w:t>
      </w:r>
    </w:p>
    <w:p/>
    <w:p>
      <w:pPr>
        <w:pStyle w:val="Heading2"/>
      </w:pPr>
      <w:r>
        <w:rPr>
          <w:rFonts w:ascii="Times New Roman" w:hAnsi="Times New Roman"/>
        </w:rPr>
        <w:t>III. Anlagen zur Notifizierung</w:t>
      </w:r>
    </w:p>
    <w:p>
      <w:pPr>
        <w:jc w:val="left"/>
      </w:pPr>
      <w:r>
        <w:t>Der Notifizierung beigefügt sind:</w:t>
      </w:r>
    </w:p>
    <w:p>
      <w:pPr>
        <w:pStyle w:val="ListNumber"/>
      </w:pPr>
      <w:r>
        <w:rPr>
          <w:b/>
        </w:rPr>
        <w:t>Volltext des Entwurfs</w:t>
      </w:r>
      <w:r>
        <w:t xml:space="preserve"> (Artikelgesetz Pflichtpostfachgesetz + Folgeänderungen) — siehe </w:t>
      </w:r>
      <w:r>
        <w:t>eingang/gesetzestext.md</w:t>
      </w:r>
    </w:p>
    <w:p>
      <w:pPr>
        <w:pStyle w:val="ListNumber"/>
      </w:pPr>
      <w:r>
        <w:rPr>
          <w:b/>
        </w:rPr>
        <w:t>Begründung Allgemeiner Teil (A)</w:t>
      </w:r>
      <w:r>
        <w:t xml:space="preserve"> — siehe </w:t>
      </w:r>
      <w:r>
        <w:t>eingang/begruendung-a.md</w:t>
      </w:r>
    </w:p>
    <w:p>
      <w:pPr>
        <w:pStyle w:val="ListNumber"/>
      </w:pPr>
      <w:r>
        <w:rPr>
          <w:b/>
        </w:rPr>
        <w:t>Begründung Besonderer Teil (B)</w:t>
      </w:r>
      <w:r>
        <w:t xml:space="preserve"> — siehe </w:t>
      </w:r>
      <w:r>
        <w:t>eingang/begruendung-b.md</w:t>
      </w:r>
    </w:p>
    <w:p>
      <w:pPr>
        <w:pStyle w:val="ListNumber"/>
      </w:pPr>
      <w:r>
        <w:rPr>
          <w:b/>
        </w:rPr>
        <w:t>Vorblatt A bis F</w:t>
      </w:r>
      <w:r>
        <w:t xml:space="preserve"> — siehe </w:t>
      </w:r>
      <w:r>
        <w:t>eingang/vorblatt.md</w:t>
      </w:r>
    </w:p>
    <w:p>
      <w:pPr>
        <w:pStyle w:val="ListNumber"/>
      </w:pPr>
      <w:r>
        <w:rPr>
          <w:b/>
        </w:rPr>
        <w:t>NKR-Stellungnahme</w:t>
      </w:r>
      <w:r>
        <w:t xml:space="preserve"> vom 19.12.2026 — siehe </w:t>
      </w:r>
      <w:r>
        <w:t>anlagen/nkr-stellungnahme-vorlage.md</w:t>
      </w:r>
    </w:p>
    <w:p>
      <w:pPr>
        <w:pStyle w:val="ListNumber"/>
      </w:pPr>
      <w:r>
        <w:rPr>
          <w:b/>
        </w:rPr>
        <w:t>Notifizierungs-Anlagen-Formular</w:t>
      </w:r>
      <w:r>
        <w:t xml:space="preserve"> mit ausgefüllten Pflichtfeldern (gemäß Notifizierungs-System TRIS)</w:t>
      </w:r>
    </w:p>
    <w:p/>
    <w:p>
      <w:pPr>
        <w:pStyle w:val="Heading2"/>
      </w:pPr>
      <w:r>
        <w:rPr>
          <w:rFonts w:ascii="Times New Roman" w:hAnsi="Times New Roman"/>
        </w:rPr>
        <w:t>IV. Erläuterung des Sektor-Bezugs</w:t>
      </w:r>
    </w:p>
    <w:p>
      <w:pPr>
        <w:jc w:val="left"/>
      </w:pPr>
      <w:r>
        <w:t>Der Entwurf richtet sich an</w:t>
      </w:r>
    </w:p>
    <w:p>
      <w:pPr>
        <w:jc w:val="left"/>
      </w:pPr>
      <w:r>
        <w:t xml:space="preserve">a) </w:t>
      </w:r>
      <w:r>
        <w:rPr>
          <w:b/>
        </w:rPr>
        <w:t>Anbieter von Diensten der Informationsgesellschaft</w:t>
      </w:r>
      <w:r>
        <w:t xml:space="preserve"> im Sinne von Artikel 1 Nummer 1 Buchstabe b der Richtlinie (EU) 2015/1535, insbesondere sehr große Online-Plattformen und sehr große Online-Suchmaschinen;</w:t>
      </w:r>
    </w:p>
    <w:p>
      <w:pPr>
        <w:jc w:val="left"/>
      </w:pPr>
      <w:r>
        <w:t xml:space="preserve">b) </w:t>
      </w:r>
      <w:r>
        <w:rPr>
          <w:b/>
        </w:rPr>
        <w:t>im Handelsregister eingetragene Gesellschaften</w:t>
      </w:r>
      <w:r>
        <w:t xml:space="preserve"> als typische Adressaten elektronischer Geschäfts-Kommunikation;</w:t>
      </w:r>
    </w:p>
    <w:p>
      <w:pPr>
        <w:jc w:val="left"/>
      </w:pPr>
      <w:r>
        <w:t xml:space="preserve">c) </w:t>
      </w:r>
      <w:r>
        <w:rPr>
          <w:b/>
        </w:rPr>
        <w:t>Zustelldienste-Anbieter</w:t>
      </w:r>
      <w:r>
        <w:t>, die Identifizierungs-Diensten gleichkommen.</w:t>
      </w:r>
    </w:p>
    <w:p>
      <w:pPr>
        <w:jc w:val="left"/>
      </w:pPr>
      <w:r>
        <w:t>Die elektronischen Postfächer und die zugehörigen Authentifizierungs-Verfahren sind technische Vorschriften, die</w:t>
      </w:r>
    </w:p>
    <w:p>
      <w:pPr>
        <w:pStyle w:val="ListBullet"/>
      </w:pPr>
      <w:r>
        <w:t>die Bereitstellung von Dienstleistungen der Informationsgesellschaft regulieren,</w:t>
      </w:r>
    </w:p>
    <w:p>
      <w:pPr>
        <w:pStyle w:val="ListBullet"/>
      </w:pPr>
      <w:r>
        <w:t>den Kreis der Adressaten erweitern,</w:t>
      </w:r>
    </w:p>
    <w:p>
      <w:pPr>
        <w:pStyle w:val="ListBullet"/>
      </w:pPr>
      <w:r>
        <w:t>spezifische technische Anforderungen statuieren (eIDAS-Niveau "hoch", NIS-2-Sicherheit, Barrierefreiheit).</w:t>
      </w:r>
    </w:p>
    <w:p/>
    <w:p>
      <w:pPr>
        <w:pStyle w:val="Heading2"/>
      </w:pPr>
      <w:r>
        <w:rPr>
          <w:rFonts w:ascii="Times New Roman" w:hAnsi="Times New Roman"/>
        </w:rPr>
        <w:t>V. Verfahrens-Vorbehalte</w:t>
      </w:r>
    </w:p>
    <w:p>
      <w:pPr>
        <w:jc w:val="left"/>
      </w:pPr>
      <w:r>
        <w:t>Die Bundesregierung behält sich vor,</w:t>
      </w:r>
    </w:p>
    <w:p>
      <w:pPr>
        <w:jc w:val="left"/>
      </w:pPr>
      <w:r>
        <w:t xml:space="preserve">a) </w:t>
      </w:r>
      <w:r>
        <w:rPr>
          <w:b/>
        </w:rPr>
        <w:t>substantielle Stellungnahmen</w:t>
      </w:r>
      <w:r>
        <w:t xml:space="preserve"> der Kommission oder anderer Mitgliedstaaten im Anschluss an die Stillhaltefrist im weiteren Gesetzgebungsverfahren zu berücksichtigen;</w:t>
      </w:r>
    </w:p>
    <w:p>
      <w:pPr>
        <w:jc w:val="left"/>
      </w:pPr>
      <w:r>
        <w:t xml:space="preserve">b) </w:t>
      </w:r>
      <w:r>
        <w:rPr>
          <w:b/>
        </w:rPr>
        <w:t>technische Anpassungen</w:t>
      </w:r>
      <w:r>
        <w:t xml:space="preserve"> vor Schlussabstimmung Bundeskabinett vorzunehmen, soweit dies aufgrund der eingegangenen Stellungnahmen erforderlich erscheint;</w:t>
      </w:r>
    </w:p>
    <w:p>
      <w:pPr>
        <w:jc w:val="left"/>
      </w:pPr>
      <w:r>
        <w:t xml:space="preserve">c) bei </w:t>
      </w:r>
      <w:r>
        <w:rPr>
          <w:b/>
        </w:rPr>
        <w:t>schwerwiegenden Einwendungen</w:t>
      </w:r>
      <w:r>
        <w:t xml:space="preserve"> der Kommission das Gesetzgebungsverfahren um weitere drei oder neun Monate auszusetzen.</w:t>
      </w:r>
    </w:p>
    <w:p/>
    <w:p>
      <w:pPr>
        <w:pStyle w:val="Heading2"/>
      </w:pPr>
      <w:r>
        <w:rPr>
          <w:rFonts w:ascii="Times New Roman" w:hAnsi="Times New Roman"/>
        </w:rPr>
        <w:t>VI. Kontakt-Stellen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Funktion</w:t>
            </w:r>
          </w:p>
        </w:tc>
        <w:tc>
          <w:tcPr>
            <w:tcW w:type="dxa" w:w="4536"/>
          </w:tcPr>
          <w:p>
            <w:r>
              <w:rPr>
                <w:rFonts w:ascii="Times New Roman" w:hAnsi="Times New Roman"/>
                <w:b/>
                <w:sz w:val="20"/>
              </w:rPr>
              <w:t>Kontakt</w:t>
            </w:r>
          </w:p>
        </w:tc>
      </w:tr>
      <w:tr>
        <w:tc>
          <w:tcPr>
            <w:tcW w:type="dxa" w:w="4536"/>
          </w:tcPr>
          <w:p>
            <w:r>
              <w:rPr>
                <w:rFonts w:ascii="Times New Roman" w:hAnsi="Times New Roman"/>
                <w:sz w:val="20"/>
              </w:rPr>
              <w:t>Federführendes Ministerium</w:t>
            </w:r>
          </w:p>
        </w:tc>
        <w:tc>
          <w:tcPr>
            <w:tcW w:type="dxa" w:w="4536"/>
          </w:tcPr>
          <w:p>
            <w:r>
              <w:rPr>
                <w:rFonts w:ascii="Times New Roman" w:hAnsi="Times New Roman"/>
                <w:sz w:val="20"/>
              </w:rPr>
              <w:t>Bundesministerium der Justiz, Referat I A 4, Mohrenstraße 37, 10117 Berlin</w:t>
            </w:r>
          </w:p>
        </w:tc>
      </w:tr>
      <w:tr>
        <w:tc>
          <w:tcPr>
            <w:tcW w:type="dxa" w:w="4536"/>
          </w:tcPr>
          <w:p>
            <w:r>
              <w:rPr>
                <w:rFonts w:ascii="Times New Roman" w:hAnsi="Times New Roman"/>
                <w:sz w:val="20"/>
              </w:rPr>
              <w:t>Notifizierungs-Beauftragte</w:t>
            </w:r>
          </w:p>
        </w:tc>
        <w:tc>
          <w:tcPr>
            <w:tcW w:type="dxa" w:w="4536"/>
          </w:tcPr>
          <w:p>
            <w:r>
              <w:rPr>
                <w:rFonts w:ascii="Times New Roman" w:hAnsi="Times New Roman"/>
                <w:sz w:val="20"/>
              </w:rPr>
              <w:t>Frau Dr. Petra Hellbrück, BMJ I A 4</w:t>
            </w:r>
          </w:p>
        </w:tc>
      </w:tr>
      <w:tr>
        <w:tc>
          <w:tcPr>
            <w:tcW w:type="dxa" w:w="4536"/>
          </w:tcPr>
          <w:p>
            <w:r>
              <w:rPr>
                <w:rFonts w:ascii="Times New Roman" w:hAnsi="Times New Roman"/>
                <w:sz w:val="20"/>
              </w:rPr>
              <w:t>Telefon</w:t>
            </w:r>
          </w:p>
        </w:tc>
        <w:tc>
          <w:tcPr>
            <w:tcW w:type="dxa" w:w="4536"/>
          </w:tcPr>
          <w:p>
            <w:r>
              <w:rPr>
                <w:rFonts w:ascii="Times New Roman" w:hAnsi="Times New Roman"/>
                <w:sz w:val="20"/>
              </w:rPr>
              <w:t>+49 30 18 580 — 2347</w:t>
            </w:r>
          </w:p>
        </w:tc>
      </w:tr>
      <w:tr>
        <w:tc>
          <w:tcPr>
            <w:tcW w:type="dxa" w:w="4536"/>
          </w:tcPr>
          <w:p>
            <w:r>
              <w:rPr>
                <w:rFonts w:ascii="Times New Roman" w:hAnsi="Times New Roman"/>
                <w:sz w:val="20"/>
              </w:rPr>
              <w:t>E-Mail</w:t>
            </w:r>
          </w:p>
        </w:tc>
        <w:tc>
          <w:tcPr>
            <w:tcW w:type="dxa" w:w="4536"/>
          </w:tcPr>
          <w:p>
            <w:r>
              <w:rPr>
                <w:rFonts w:ascii="Times New Roman" w:hAnsi="Times New Roman"/>
                <w:sz w:val="20"/>
              </w:rPr>
              <w:t>pflichtpostfach-notifizierung@bmj.bund.de</w:t>
            </w:r>
          </w:p>
        </w:tc>
      </w:tr>
      <w:tr>
        <w:tc>
          <w:tcPr>
            <w:tcW w:type="dxa" w:w="4536"/>
          </w:tcPr>
          <w:p>
            <w:r>
              <w:rPr>
                <w:rFonts w:ascii="Times New Roman" w:hAnsi="Times New Roman"/>
                <w:sz w:val="20"/>
              </w:rPr>
              <w:t>TRIS-Identifikation</w:t>
            </w:r>
          </w:p>
        </w:tc>
        <w:tc>
          <w:tcPr>
            <w:tcW w:type="dxa" w:w="4536"/>
          </w:tcPr>
          <w:p>
            <w:r>
              <w:rPr>
                <w:rFonts w:ascii="Times New Roman" w:hAnsi="Times New Roman"/>
                <w:sz w:val="20"/>
              </w:rPr>
              <w:t>TRIS 2027/0015/D</w:t>
            </w:r>
          </w:p>
        </w:tc>
      </w:tr>
    </w:tbl>
    <w:p/>
    <w:p>
      <w:pPr>
        <w:pStyle w:val="Heading2"/>
      </w:pPr>
      <w:r>
        <w:rPr>
          <w:rFonts w:ascii="Times New Roman" w:hAnsi="Times New Roman"/>
        </w:rPr>
        <w:t>VII. Schlussbemerkung</w:t>
      </w:r>
    </w:p>
    <w:p>
      <w:pPr>
        <w:jc w:val="left"/>
      </w:pPr>
      <w:r>
        <w:t>Die Bundesregierung weist darauf hin, dass der Entwurf nach Notifizierung und Ablauf der Stillhaltefrist (bzw. nach Berücksichtigung etwaiger Stellungnahmen der Kommission oder anderer Mitgliedstaaten) dem Bundeskabinett zur Schlussabstimmung vorgelegt wird. Eine vorzeitige Verabschiedung ohne Beachtung der Stillhaltefrist wäre unionsrechtlich unzulässig (vgl. EuGH C-194/94 CIA Security und Folge-Rechtsprechung).</w:t>
      </w:r>
    </w:p>
    <w:p>
      <w:pPr>
        <w:jc w:val="left"/>
      </w:pPr>
      <w:r>
        <w:t>Berlin, den 15. Januar 2027</w:t>
      </w:r>
    </w:p>
    <w:p>
      <w:pPr>
        <w:jc w:val="left"/>
      </w:pPr>
      <w:r>
        <w:t>Bundesministerium der Justiz</w:t>
      </w:r>
    </w:p>
    <w:p>
      <w:pPr>
        <w:jc w:val="left"/>
      </w:pPr>
      <w:r>
        <w:t>Mohrenstraße 37</w:t>
      </w:r>
    </w:p>
    <w:p>
      <w:pPr>
        <w:jc w:val="left"/>
      </w:pPr>
      <w:r>
        <w:t>10117 Berlin</w:t>
      </w:r>
    </w:p>
    <w:p/>
    <w:p>
      <w:pPr>
        <w:jc w:val="left"/>
      </w:pPr>
      <w:r>
        <w:rPr>
          <w:b/>
        </w:rPr>
        <w:t>Empfangsbestätigung der EU-Kommission (Eingang TRIS-System):</w:t>
      </w:r>
    </w:p>
    <w:p>
      <w:pPr>
        <w:jc w:val="left"/>
      </w:pPr>
      <w:r>
        <w:t>Eingang: __________</w:t>
      </w:r>
    </w:p>
    <w:p>
      <w:pPr>
        <w:jc w:val="left"/>
      </w:pPr>
      <w:r>
        <w:t>Bestätigung: TRIS 2027/0015/D</w:t>
      </w:r>
    </w:p>
    <w:p>
      <w:pPr>
        <w:jc w:val="left"/>
      </w:pPr>
      <w:r>
        <w:t>Stillhaltefrist Beginn: __________</w:t>
      </w:r>
    </w:p>
    <w:p>
      <w:pPr>
        <w:jc w:val="left"/>
      </w:pPr>
      <w:r>
        <w:t>Stillhaltefrist Ende: __________</w:t>
      </w:r>
    </w:p>
    <w:p/>
    <w:p>
      <w:pPr>
        <w:pStyle w:val="Heading2"/>
      </w:pPr>
      <w:r>
        <w:rPr>
          <w:rFonts w:ascii="Times New Roman" w:hAnsi="Times New Roman"/>
        </w:rPr>
        <w:t>Anlage — Inhalts-Übersicht des notifizierten Entwurfs (Strukturansicht)</w:t>
      </w:r>
    </w:p>
    <w:p>
      <w:pPr>
        <w:jc w:val="left"/>
      </w:pPr>
      <w:r>
        <w:t>```</w:t>
      </w:r>
    </w:p>
    <w:p>
      <w:pPr>
        <w:jc w:val="left"/>
      </w:pPr>
      <w:r>
        <w:t>Artikel 1 — Pflichtpostfachgesetz (PflPostG)</w:t>
      </w:r>
    </w:p>
    <w:p>
      <w:pPr>
        <w:jc w:val="left"/>
      </w:pPr>
      <w:r>
        <w:t>§ 1  Zweck und Anwendungsbereich</w:t>
      </w:r>
    </w:p>
    <w:p>
      <w:pPr>
        <w:jc w:val="left"/>
      </w:pPr>
      <w:r>
        <w:t>§ 2  Begriffsbestimmungen</w:t>
      </w:r>
    </w:p>
    <w:p>
      <w:pPr>
        <w:jc w:val="left"/>
      </w:pPr>
      <w:r>
        <w:t>§ 3  Vorhalte- und Prüfpflichten</w:t>
      </w:r>
    </w:p>
    <w:p>
      <w:pPr>
        <w:jc w:val="left"/>
      </w:pPr>
      <w:r>
        <w:t>§ 4  Interoperabilität</w:t>
      </w:r>
    </w:p>
    <w:p>
      <w:pPr>
        <w:jc w:val="left"/>
      </w:pPr>
      <w:r>
        <w:t>§ 5  Verordnungsermächtigung</w:t>
      </w:r>
    </w:p>
    <w:p>
      <w:pPr>
        <w:jc w:val="left"/>
      </w:pPr>
      <w:r>
        <w:t>§ 6  Ordnungswidrigkeiten</w:t>
      </w:r>
    </w:p>
    <w:p>
      <w:pPr>
        <w:jc w:val="left"/>
      </w:pPr>
      <w:r>
        <w:t>§ 7  Datenschutz</w:t>
      </w:r>
    </w:p>
    <w:p>
      <w:pPr>
        <w:jc w:val="left"/>
      </w:pPr>
      <w:r>
        <w:t>§ 8  Übergangs- und Schlussvorschriften</w:t>
      </w:r>
    </w:p>
    <w:p>
      <w:pPr>
        <w:jc w:val="left"/>
      </w:pPr>
      <w:r>
        <w:t>Artikel 2 — Änderung des Handelsgesetzbuchs (HGB § 33a neu)</w:t>
      </w:r>
    </w:p>
    <w:p>
      <w:pPr>
        <w:jc w:val="left"/>
      </w:pPr>
      <w:r>
        <w:t>Artikel 3 — Änderung der Zivilprozessordnung (§ 130d ZPO)</w:t>
      </w:r>
    </w:p>
    <w:p>
      <w:pPr>
        <w:jc w:val="left"/>
      </w:pPr>
      <w:r>
        <w:t>Artikel 4 — Änderung des FamFG (§ 14 Abs. 4)</w:t>
      </w:r>
    </w:p>
    <w:p>
      <w:pPr>
        <w:jc w:val="left"/>
      </w:pPr>
      <w:r>
        <w:t>Artikel 5 — Änderung des Verwaltungszustellungsgesetzes (§ 5 Abs. 5 neu)</w:t>
      </w:r>
    </w:p>
    <w:p>
      <w:pPr>
        <w:jc w:val="left"/>
      </w:pPr>
      <w:r>
        <w:t>Artikel 6 — Änderung der Abgabenordnung (§ 87a Abs. 5 neu)</w:t>
      </w:r>
    </w:p>
    <w:p>
      <w:pPr>
        <w:jc w:val="left"/>
      </w:pPr>
      <w:r>
        <w:t>Artikel 7 — Folgeänderungen (InsO-Online, Erbnachweis-Verfahren)</w:t>
      </w:r>
    </w:p>
    <w:p>
      <w:pPr>
        <w:jc w:val="left"/>
      </w:pPr>
      <w:r>
        <w:t>Artikel 8 — Inkrafttreten und Übergangs-Regelungen</w:t>
      </w:r>
    </w:p>
    <w:p>
      <w:pPr>
        <w:jc w:val="left"/>
      </w:pPr>
      <w:r>
        <w: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Notifizierende Behörde: Bundesministerium der Justiz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Notifizierende Behörde: Bundesministerium der Justiz</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