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Auftragsblatt - Pflichtpostfach</w:t>
      </w:r>
    </w:p>
    <w:p>
      <w:pPr>
        <w:jc w:val="left"/>
      </w:pPr>
      <w:r>
        <w:rPr>
          <w:b/>
        </w:rPr>
        <w:t>Federführung:</w:t>
      </w:r>
      <w:r>
        <w:t xml:space="preserve"> Bundesministerium der Justiz, Referat I A 4</w:t>
      </w:r>
    </w:p>
    <w:p>
      <w:pPr>
        <w:jc w:val="left"/>
      </w:pPr>
      <w:r>
        <w:rPr>
          <w:b/>
        </w:rPr>
        <w:t>Eingang:</w:t>
      </w:r>
      <w:r>
        <w:t xml:space="preserve"> 12. März 2026</w:t>
      </w:r>
    </w:p>
    <w:p>
      <w:pPr>
        <w:jc w:val="left"/>
      </w:pPr>
      <w:r>
        <w:rPr>
          <w:b/>
        </w:rPr>
        <w:t>Politische Vorgabe:</w:t>
      </w:r>
      <w:r>
        <w:t xml:space="preserve"> Koalitionsvertrag vom 9. Mai 2025, Ziffer 1138-1142</w:t>
      </w:r>
    </w:p>
    <w:p>
      <w:pPr>
        <w:jc w:val="left"/>
      </w:pPr>
      <w:r>
        <w:rPr>
          <w:b/>
        </w:rPr>
        <w:t>Auftrag von:</w:t>
      </w:r>
      <w:r>
        <w:t xml:space="preserve"> Staatssekretär Dr. Lambrecht im Auftrag des Bundesministers</w:t>
      </w:r>
    </w:p>
    <w:p>
      <w:pPr>
        <w:jc w:val="left"/>
      </w:pPr>
      <w:r>
        <w:rPr>
          <w:b/>
        </w:rPr>
        <w:t>Zielsetzung:</w:t>
      </w:r>
      <w:r>
        <w:t xml:space="preserve"> Schaffung eines bundeseinheitlichen Rechtsrahmens für das elektronische Pflichtpostfach.</w:t>
      </w:r>
    </w:p>
    <w:p>
      <w:pPr>
        <w:pStyle w:val="Heading2"/>
      </w:pPr>
      <w:r>
        <w:rPr>
          <w:rFonts w:ascii="Times New Roman" w:hAnsi="Times New Roman"/>
        </w:rPr>
        <w:t>Vorgaben aus dem Koalitionsvertrag (Auszug)</w:t>
      </w:r>
    </w:p>
    <w:p>
      <w:pPr>
        <w:ind w:left="567"/>
      </w:pPr>
      <w:r>
        <w:rPr>
          <w:i/>
        </w:rPr>
        <w:t>"Wir verpflichten im Handelsregister eingetragene Gesellschaften, ihre Zweigniederlassungen sowie sehr grosse Online-Plattformen und Online-Suchmaschinen im Sinne des Digital Services Act zur Vorhaltung eines elektronischen Pflichtpostfachs."</w:t>
      </w:r>
    </w:p>
    <w:p>
      <w:pPr>
        <w:pStyle w:val="Heading2"/>
      </w:pPr>
      <w:r>
        <w:rPr>
          <w:rFonts w:ascii="Times New Roman" w:hAnsi="Times New Roman"/>
        </w:rPr>
        <w:t>Geforderte Eckdaten</w:t>
      </w:r>
    </w:p>
    <w:p>
      <w:pPr>
        <w:pStyle w:val="ListBullet"/>
      </w:pPr>
      <w:r>
        <w:t>Stammgesetz im Geschäftsbereich BMJ</w:t>
      </w:r>
    </w:p>
    <w:p>
      <w:pPr>
        <w:pStyle w:val="ListBullet"/>
      </w:pPr>
      <w:r>
        <w:t>Folgeänderungen in HGB, ZPO, FamFG, VwZG, AO</w:t>
      </w:r>
    </w:p>
    <w:p>
      <w:pPr>
        <w:pStyle w:val="ListBullet"/>
      </w:pPr>
      <w:r>
        <w:t>Interoperabilität mit beA, beBPo, eBO, Mein Unternehmenskonto</w:t>
      </w:r>
    </w:p>
    <w:p>
      <w:pPr>
        <w:pStyle w:val="ListBullet"/>
      </w:pPr>
      <w:r>
        <w:t>Verordnungsermächtigung im Einvernehmen mit BMI und BMDV</w:t>
      </w:r>
    </w:p>
    <w:p>
      <w:pPr>
        <w:pStyle w:val="ListBullet"/>
      </w:pPr>
      <w:r>
        <w:t>Bussgeldbewehrung</w:t>
      </w:r>
    </w:p>
    <w:p>
      <w:pPr>
        <w:pStyle w:val="ListBullet"/>
      </w:pPr>
      <w:r>
        <w:t>Notifizierung nach Richtlinie (EU) 2015 1535</w:t>
      </w:r>
    </w:p>
    <w:p>
      <w:pPr>
        <w:pStyle w:val="ListBullet"/>
      </w:pPr>
      <w:r>
        <w:t>Erfuellungsaufwand muss durch den Nationalen Normenkontrollrat akzeptiert sein</w:t>
      </w:r>
    </w:p>
    <w:p>
      <w:pPr>
        <w:pStyle w:val="Heading2"/>
      </w:pPr>
      <w:r>
        <w:rPr>
          <w:rFonts w:ascii="Times New Roman" w:hAnsi="Times New Roman"/>
        </w:rPr>
        <w:t>Zeitleiste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Soll-Termin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Referentenentwurf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 Juni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Verbaendeanhoerung und Länderbeteiligung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 Juli bis 15. September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Ressortabstimmung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 September bis 14. Oktober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Notifizierung 2015 1535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 Oktober 2026 (Beginn Stillhaltefrist)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Kabinettsbeschluss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 Januar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Lesung Bundestag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Februar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Verkündung im BGBl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Sommer 2027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Inkrafttreten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erster Tag des zwölften auf die Verkündung folgenden Kalendermonats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Federfuehrungs-Hinweis</w:t>
      </w:r>
    </w:p>
    <w:p>
      <w:pPr>
        <w:pStyle w:val="ListBullet"/>
      </w:pPr>
      <w:r>
        <w:t>Das BMI bringt die VwZG-Aspekte ein.</w:t>
      </w:r>
    </w:p>
    <w:p>
      <w:pPr>
        <w:pStyle w:val="ListBullet"/>
      </w:pPr>
      <w:r>
        <w:t>Das BMF bringt die AO-Aspekte ein.</w:t>
      </w:r>
    </w:p>
    <w:p>
      <w:pPr>
        <w:pStyle w:val="ListBullet"/>
      </w:pPr>
      <w:r>
        <w:t>Das BMDV bringt die technische Interoperabilität ein.</w:t>
      </w:r>
    </w:p>
    <w:p>
      <w:pPr>
        <w:pStyle w:val="ListBullet"/>
      </w:pPr>
      <w:r>
        <w:t>Federführung verbleibt beim BMJ.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Federführung: Bundesministerium der Justiz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Federführung: Bundesministerium der Justiz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Referat I A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