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BaFin/Passporting-Notiz</w:t>
      </w:r>
    </w:p>
    <w:p>
      <w:pPr>
        <w:jc w:val="left"/>
      </w:pPr>
      <w:r>
        <w:t>Interne Zusammenfassung.</w:t>
      </w:r>
    </w:p>
    <w:p>
      <w:pPr>
        <w:jc w:val="left"/>
      </w:pPr>
      <w:r>
        <w:t>Die Emerald Liffey Bank plc nutzt EU-Passporting für Deutschland. Die BaFin führt die Zweigniederlassung als angezeigte Niederlassung eines irischen CRR-Kreditinstituts. Für die Lobbyregisterfrage ist die aufsichtsrechtliche Anzeige wichtig, aber nicht identisch mit eigener Rechtspersönlichkeit.</w:t>
      </w:r>
    </w:p>
    <w:p>
      <w:pPr>
        <w:jc w:val="left"/>
      </w:pPr>
      <w:r>
        <w:rPr>
          <w:b/>
        </w:rPr>
        <w:t>Risiko:</w:t>
      </w:r>
      <w:r>
        <w:t xml:space="preserve"> Fachabteilungen verwechseln BaFin-Zulassung, Handelsregisterzweigstelle und Registereintragung nach LobbyRG.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BaFin/Passporting-Notiz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3B3F45"/>
        <w:sz w:val="24"/>
      </w:rPr>
      <w:t>BaFin/Passporting-Notiz</w:t>
    </w:r>
  </w:p>
  <w:p>
    <w:pPr>
      <w:jc w:val="left"/>
      <w:pBdr>
        <w:bottom w:val="single" w:sz="6" w:space="2" w:color="3B3F45"/>
      </w:pBdr>
    </w:pPr>
    <w:r>
      <w:rPr>
        <w:rFonts w:ascii="Times New Roman" w:hAnsi="Times New Roman"/>
        <w:color w:val="6B6B66"/>
        <w:sz w:val="16"/>
      </w:rPr>
      <w:t>Behörde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