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Mandatsvertrag – Auszug aus dem Public-Affairs-Beratungsvertrag</w:t>
      </w:r>
    </w:p>
    <w:p>
      <w:pPr>
        <w:jc w:val="left"/>
      </w:pPr>
      <w:r>
        <w:rPr>
          <w:b/>
        </w:rPr>
        <w:t>Vertragsparteien:</w:t>
      </w:r>
    </w:p>
    <w:p>
      <w:pPr>
        <w:pStyle w:val="ListBullet"/>
      </w:pPr>
      <w:r>
        <w:rPr>
          <w:b/>
        </w:rPr>
        <w:t>Auftraggeber:</w:t>
      </w:r>
      <w:r>
        <w:t xml:space="preserve"> HansaH2 Storage AG, Versmannstr. 33, 20457 Hamburg, vertreten durch Christine Luehrs (CFO) und Dr. Hauke Witt (CEO)</w:t>
      </w:r>
    </w:p>
    <w:p>
      <w:pPr>
        <w:pStyle w:val="ListBullet"/>
      </w:pPr>
      <w:r>
        <w:rPr>
          <w:b/>
        </w:rPr>
        <w:t>Auftragnehmerin:</w:t>
      </w:r>
      <w:r>
        <w:t xml:space="preserve"> Spreebogen Regulatory GmbH, Reinhardtstr. 47, 10117 Berlin, vertreten durch Mara Wendt (CEO) und Lea Sommer (COO)</w:t>
      </w:r>
    </w:p>
    <w:p>
      <w:pPr>
        <w:jc w:val="left"/>
      </w:pPr>
      <w:r>
        <w:rPr>
          <w:b/>
        </w:rPr>
        <w:t>Vertragsbeginn:</w:t>
      </w:r>
      <w:r>
        <w:t xml:space="preserve"> 01.02.2026</w:t>
      </w:r>
    </w:p>
    <w:p>
      <w:pPr>
        <w:jc w:val="left"/>
      </w:pPr>
      <w:r>
        <w:rPr>
          <w:b/>
        </w:rPr>
        <w:t>Laufzeit:</w:t>
      </w:r>
      <w:r>
        <w:t xml:space="preserve"> zunächst 12 Monate; danach jeweils drei Monate Verlängerung mit beiderseitigem Sonderkündigungsrecht</w:t>
      </w:r>
    </w:p>
    <w:p>
      <w:pPr>
        <w:jc w:val="left"/>
      </w:pPr>
      <w:r>
        <w:rPr>
          <w:b/>
        </w:rPr>
        <w:t>Vergaberahmen:</w:t>
      </w:r>
      <w:r>
        <w:t xml:space="preserve"> 240.000 EUR fest plus 60.000 EUR Reise- und Veranstaltungspauschale</w:t>
      </w:r>
    </w:p>
    <w:p>
      <w:pPr>
        <w:pStyle w:val="Heading2"/>
      </w:pPr>
      <w:r>
        <w:rPr>
          <w:rFonts w:ascii="Times New Roman" w:hAnsi="Times New Roman"/>
        </w:rPr>
        <w:t>Gegenstand (§ 2 des Vertrags)</w:t>
      </w:r>
    </w:p>
    <w:p>
      <w:pPr>
        <w:ind w:left="567"/>
      </w:pPr>
      <w:r>
        <w:rPr>
          <w:i/>
        </w:rPr>
        <w:t>"Die Auftragnehmerin übernimmt für die HansaH2 Storage AG die strategische und operative Begleitung des geplanten Wasserstoffbeschleunigungsgesetzes (WBG). Dies umfasst die Erarbeitung von Positionspapieren, die Begleitung von Gesprächen mit Bundestag, Bundesregierung und Fraktionen, die Erstellung von Stellungnahmen, die Organisation von Fachgesprächen sowie die Stakeholderkommunikation mit dem Ziel der Speicherprivilegierung, Netzentgeltbefreiung und Planungsbeschleunigung."</w:t>
      </w:r>
    </w:p>
    <w:p>
      <w:pPr>
        <w:pStyle w:val="Heading2"/>
      </w:pPr>
      <w:r>
        <w:rPr>
          <w:rFonts w:ascii="Times New Roman" w:hAnsi="Times New Roman"/>
        </w:rPr>
        <w:t>Vertragsklauseln im Lobbyregister-Kontext</w:t>
      </w:r>
    </w:p>
    <w:p>
      <w:pPr>
        <w:jc w:val="left"/>
      </w:pPr>
      <w:r>
        <w:rPr>
          <w:b/>
        </w:rPr>
        <w:t>§ 4 Offenlegung:</w:t>
      </w:r>
      <w:r>
        <w:t xml:space="preserve"> "Die Auftragnehmerin legt im Lobbyregister beim Deutschen Bundestag die Auftraggeberin als ihre Mandantin offen. Dies erfolgt mit dem in Anlage 2 beigefügten Wortlaut, soweit sich daraus keine zwingende rechtliche Anpassung ergibt."</w:t>
      </w:r>
    </w:p>
    <w:p>
      <w:pPr>
        <w:jc w:val="left"/>
      </w:pPr>
      <w:r>
        <w:rPr>
          <w:b/>
        </w:rPr>
        <w:t>§ 5 Inhaltliche Beschränkung:</w:t>
      </w:r>
      <w:r>
        <w:t xml:space="preserve"> "Die Auftragnehmerin darf in Kontakten gegenüber Dritten ausschliesslich die Auftraggeberin namentlich nennen. Die Auftraggeberin ist nicht zugleich Vertreterin der gesamten deutschen Wasserstoffwirtschaft oder einer bestimmten Branche."</w:t>
      </w:r>
    </w:p>
    <w:p>
      <w:pPr>
        <w:jc w:val="left"/>
      </w:pPr>
      <w:r>
        <w:rPr>
          <w:b/>
        </w:rPr>
        <w:t>§ 6 Unterauftragnehmer:</w:t>
      </w:r>
      <w:r>
        <w:t xml:space="preserve"> "Die Auftragnehmerin darf Unterauftragnehmer einsetzen, hat die Auftraggeberin hierüber jedoch im Voraus zu unterrichten. Sind Unterauftragnehmer mit der Vertretung von Interessen oder mit der Erarbeitung inhaltlicher Argumentationen befasst, sind diese im Lobbyregister gesondert zu führen oder als Unterauftragnehmer der Auftragnehmerin zu erfassen."</w:t>
      </w:r>
    </w:p>
    <w:p>
      <w:pPr>
        <w:jc w:val="left"/>
      </w:pPr>
      <w:r>
        <w:rPr>
          <w:b/>
        </w:rPr>
        <w:t>§ 7 Vergabe Reise-/Veranstaltungspauschale:</w:t>
      </w:r>
      <w:r>
        <w:t xml:space="preserve"> "Pauschale ist je Quartal abzurechnen mit beigefügter Belegliste. Über 5.000 EUR pro Veranstaltung ist vorherige Zustimmung der Auftraggeberin erforderlich."</w:t>
      </w:r>
    </w:p>
    <w:p>
      <w:pPr>
        <w:jc w:val="left"/>
      </w:pPr>
      <w:r>
        <w:rPr>
          <w:b/>
        </w:rPr>
        <w:t>§ 8 Vertraulichkeit:</w:t>
      </w:r>
      <w:r>
        <w:t xml:space="preserve"> "Vertragliche Inhalte, Honorarvolumen und interne Strategiekommunikation sind vertraulich. Die Offenlegung im Lobbyregister bleibt davon unberührt."</w:t>
      </w:r>
    </w:p>
    <w:p>
      <w:pPr>
        <w:jc w:val="left"/>
      </w:pPr>
      <w:r>
        <w:rPr>
          <w:b/>
        </w:rPr>
        <w:t>§ 9 Anti-Tampering-Klausel:</w:t>
      </w:r>
      <w:r>
        <w:t xml:space="preserve"> "Die Auftragnehmerin verpflichtet sich, keine Erklärungen abzugeben, die der Position der Auftraggeberin widersprechen oder die unzutreffenderweise eine Branchenrepräsentation behaupten."</w:t>
      </w:r>
    </w:p>
    <w:p>
      <w:pPr>
        <w:jc w:val="left"/>
      </w:pPr>
      <w:r>
        <w:rPr>
          <w:b/>
        </w:rPr>
        <w:t>Anlage 2 – vorgegebener Eintragstext:</w:t>
      </w:r>
    </w:p>
    <w:p>
      <w:pPr>
        <w:ind w:left="567"/>
      </w:pPr>
      <w:r>
        <w:rPr>
          <w:i/>
        </w:rPr>
        <w:t>"Spreebogen Regulatory GmbH vertritt im Auftrag einzelner Unternehmen Interessen zu konkreten energie- und infrastrukturpolitischen Vorhaben. Aktuelle Mandate werden im Register transparent ausgewiesen."</w:t>
      </w:r>
    </w:p>
    <w:p>
      <w:pPr>
        <w:pStyle w:val="Heading2"/>
      </w:pPr>
      <w:r>
        <w:rPr>
          <w:rFonts w:ascii="Times New Roman" w:hAnsi="Times New Roman"/>
        </w:rPr>
        <w:t>Parallelmandat Nordsee Elektrolyse Konsortium GbR</w:t>
      </w:r>
    </w:p>
    <w:p>
      <w:pPr>
        <w:jc w:val="left"/>
      </w:pPr>
      <w:r>
        <w:t>Es besteht ein eigenständiges Beratungsmandat mit der Nordsee Elektrolyse Konsortium GbR (Bremerhaven), Vertragsbeginn 15.03.2026, Honorar 12.500 EUR monatlich, Laufzeit zunächst sechs Monate, mit getrennter Anlage 2.</w:t>
      </w:r>
    </w:p>
    <w:p>
      <w:pPr>
        <w:pStyle w:val="Heading2"/>
      </w:pPr>
      <w:r>
        <w:rPr>
          <w:rFonts w:ascii="Times New Roman" w:hAnsi="Times New Roman"/>
        </w:rPr>
        <w:t>Hinweise Buchhaltung Spreebogen</w:t>
      </w:r>
    </w:p>
    <w:p>
      <w:pPr>
        <w:pStyle w:val="ListBullet"/>
      </w:pPr>
      <w:r>
        <w:t>HansaH2 zahlt rechtzeitig zum 15. des Monats.</w:t>
      </w:r>
    </w:p>
    <w:p>
      <w:pPr>
        <w:pStyle w:val="ListBullet"/>
      </w:pPr>
      <w:r>
        <w:t>Nordsee Elektrolyse Konsortium GbR hat die Aprilrechnung (12.500 EUR netto, fällig 30.04.2026) bisher nicht beglichen; Mahnstand 1 versendet 14.05.2026. Begründung Tarek Abadi: "Liquiditätsklemme, Lösung bis Q3/2026."</w:t>
      </w:r>
    </w:p>
    <w:p>
      <w:pPr>
        <w:pStyle w:val="ListBullet"/>
      </w:pPr>
      <w:r>
        <w:t>Internal Audit: Diese Honorarrückstellung darf nicht den Eintrag im Register beeinflussen.</w:t>
      </w:r>
    </w:p>
    <w:p>
      <w:pPr>
        <w:pStyle w:val="Heading2"/>
      </w:pPr>
      <w:r>
        <w:rPr>
          <w:rFonts w:ascii="Times New Roman" w:hAnsi="Times New Roman"/>
        </w:rPr>
        <w:t>Hinweise Compliance Spreebogen</w:t>
      </w:r>
    </w:p>
    <w:p>
      <w:pPr>
        <w:pStyle w:val="ListBullet"/>
      </w:pPr>
      <w:r>
        <w:t>Eintragstext im Register ist mit den Anlagen 2 beider Mandate abzugleichen.</w:t>
      </w:r>
    </w:p>
    <w:p>
      <w:pPr>
        <w:pStyle w:val="ListBullet"/>
      </w:pPr>
      <w:r>
        <w:t xml:space="preserve">HansaH2 verlangt explizit, </w:t>
      </w:r>
      <w:r>
        <w:rPr>
          <w:b/>
        </w:rPr>
        <w:t>nicht als Branchenrepräsentation</w:t>
      </w:r>
      <w:r>
        <w:t xml:space="preserve"> angeführt zu werden (vgl. 13_emailauftrag_korrektur_mandant.eml).</w:t>
      </w:r>
    </w:p>
    <w:p>
      <w:pPr>
        <w:pStyle w:val="ListBullet"/>
      </w:pPr>
      <w:r>
        <w:t>Die OpenGrid-Einladung in Fassung 1 hat gegen § 5 Mandatsvertrag verstossen; Vertragsbruch ist im internen Compliance-Register vermerkt.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HansaH2 Storage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HansaH2 Storage AG</w:t>
    </w:r>
  </w:p>
  <w:p>
    <w:pPr>
      <w:jc w:val="left"/>
      <w:pBdr>
        <w:bottom w:val="single" w:sz="6" w:space="2" w:color="1F3864"/>
      </w:pBdr>
    </w:pPr>
    <w:r>
      <w:rPr>
        <w:rFonts w:ascii="Times New Roman" w:hAnsi="Times New Roman"/>
        <w:color w:val="6B6B66"/>
        <w:sz w:val="16"/>
      </w:rPr>
      <w:t>Versmannstr. 33, 20457 Hamburg, vertreten durch Christine Luehrs (CFO) und Dr. Hauke Witt (CEO)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