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Regelungsvorhaben Wasserstoffbeschleunigungsgesetz</w:t>
      </w:r>
    </w:p>
    <w:p>
      <w:pPr>
        <w:jc w:val="left"/>
      </w:pPr>
      <w:r>
        <w:rPr>
          <w:b/>
        </w:rPr>
        <w:t>Arbeitstitel intern Bundestag:</w:t>
      </w:r>
      <w:r>
        <w:t xml:space="preserve"> Wasserstoffbeschleunigungsgesetz (WBG)</w:t>
      </w:r>
    </w:p>
    <w:p>
      <w:pPr>
        <w:jc w:val="left"/>
      </w:pPr>
      <w:r>
        <w:rPr>
          <w:b/>
        </w:rPr>
        <w:t>Federführung:</w:t>
      </w:r>
      <w:r>
        <w:t xml:space="preserve"> Bundesministerium für Wirtschaft und Klimaschutz (BMWK)</w:t>
      </w:r>
    </w:p>
    <w:p>
      <w:pPr>
        <w:jc w:val="left"/>
      </w:pPr>
      <w:r>
        <w:rPr>
          <w:b/>
        </w:rPr>
        <w:t>Mitbeteiligte Ressorts:</w:t>
      </w:r>
      <w:r>
        <w:t xml:space="preserve"> BMF, BMDV, BMUV</w:t>
      </w:r>
    </w:p>
    <w:p>
      <w:pPr>
        <w:jc w:val="left"/>
      </w:pPr>
      <w:r>
        <w:rPr>
          <w:b/>
        </w:rPr>
        <w:t>Stand Gesetzgebung:</w:t>
      </w:r>
      <w:r>
        <w:t xml:space="preserve"> Referentenentwurf BMWK angekündigt für Q3/2026</w:t>
      </w:r>
    </w:p>
    <w:p>
      <w:pPr>
        <w:jc w:val="left"/>
      </w:pPr>
      <w:r>
        <w:rPr>
          <w:b/>
        </w:rPr>
        <w:t>Voraussichtliche erste Lesung:</w:t>
      </w:r>
      <w:r>
        <w:t xml:space="preserve"> Q4/2026</w:t>
      </w:r>
    </w:p>
    <w:p>
      <w:pPr>
        <w:jc w:val="left"/>
      </w:pPr>
      <w:r>
        <w:rPr>
          <w:b/>
        </w:rPr>
        <w:t>Bezeichnung im Register:</w:t>
      </w:r>
      <w:r>
        <w:t xml:space="preserve"> "Wasserstoffbeschleunigungsgesetz (WBG)" (zur Vereindeutigung in der Eintragstaetigkeit)</w:t>
      </w:r>
    </w:p>
    <w:p>
      <w:pPr>
        <w:pStyle w:val="Heading2"/>
      </w:pPr>
      <w:r>
        <w:rPr>
          <w:rFonts w:ascii="Times New Roman" w:hAnsi="Times New Roman"/>
        </w:rPr>
        <w:t>Ziel des Gesetzes</w:t>
      </w:r>
    </w:p>
    <w:p>
      <w:pPr>
        <w:jc w:val="left"/>
      </w:pPr>
      <w:r>
        <w:t>Beschleunigung von Genehmigung, Netzanschluss, Flächenzugang und Investitionsentscheidungen für Wasserstoffinfrastruktur. Erwartet werden Änderungen u.a. in EnWG, BImSchG, BauGB und ggf. einer neuen Speicherprivilegierung im EnWG.</w:t>
      </w:r>
    </w:p>
    <w:p>
      <w:pPr>
        <w:pStyle w:val="Heading2"/>
      </w:pPr>
      <w:r>
        <w:rPr>
          <w:rFonts w:ascii="Times New Roman" w:hAnsi="Times New Roman"/>
        </w:rPr>
        <w:t>Forderungen HansaH2 Storage AG</w:t>
      </w:r>
    </w:p>
    <w:p>
      <w:pPr>
        <w:pStyle w:val="ListBullet"/>
      </w:pPr>
      <w:r>
        <w:rPr>
          <w:b/>
        </w:rPr>
        <w:t>Speicherprivilegierung:</w:t>
      </w:r>
      <w:r>
        <w:t xml:space="preserve"> klare Privilegierung von Wasserstoffspeichern (Untertage- und Obertagespeicher) im EnWG analog § 11b EnWG für Stromspeicher.</w:t>
      </w:r>
    </w:p>
    <w:p>
      <w:pPr>
        <w:pStyle w:val="ListBullet"/>
      </w:pPr>
      <w:r>
        <w:rPr>
          <w:b/>
        </w:rPr>
        <w:t>Fristen für Genehmigungsbehörden:</w:t>
      </w:r>
      <w:r>
        <w:t xml:space="preserve"> Hoechstdauer 12 Monate ab vollständiger Antragsunterlage.</w:t>
      </w:r>
    </w:p>
    <w:p>
      <w:pPr>
        <w:pStyle w:val="ListBullet"/>
      </w:pPr>
      <w:r>
        <w:rPr>
          <w:b/>
        </w:rPr>
        <w:t>Klarstellung Duldungspflichten:</w:t>
      </w:r>
      <w:r>
        <w:t xml:space="preserve"> Duldungspflichten der Grundstückseigentümer für Wasserstoffleitungen analog § 44 EnWG.</w:t>
      </w:r>
    </w:p>
    <w:p>
      <w:pPr>
        <w:pStyle w:val="ListBullet"/>
      </w:pPr>
      <w:r>
        <w:rPr>
          <w:b/>
        </w:rPr>
        <w:t>Übergangsfristen für bestehende Speicherprojekte.</w:t>
      </w:r>
    </w:p>
    <w:p>
      <w:pPr>
        <w:pStyle w:val="Heading2"/>
      </w:pPr>
      <w:r>
        <w:rPr>
          <w:rFonts w:ascii="Times New Roman" w:hAnsi="Times New Roman"/>
        </w:rPr>
        <w:t>Forderungen Nordsee Elektrolyse Konsortium GbR</w:t>
      </w:r>
    </w:p>
    <w:p>
      <w:pPr>
        <w:pStyle w:val="ListBullet"/>
      </w:pPr>
      <w:r>
        <w:rPr>
          <w:b/>
        </w:rPr>
        <w:t>Netzentgeltprivileg für Elektrolyseure:</w:t>
      </w:r>
      <w:r>
        <w:t xml:space="preserve"> Reduktion der Netzentgelte zugunsten von Elektrolyseuren mit Volllaststundenrahmen.</w:t>
      </w:r>
    </w:p>
    <w:p>
      <w:pPr>
        <w:pStyle w:val="ListBullet"/>
      </w:pPr>
      <w:r>
        <w:rPr>
          <w:b/>
        </w:rPr>
        <w:t>Flächenzugang an Offshore-Anbindungspunkten:</w:t>
      </w:r>
      <w:r>
        <w:t xml:space="preserve"> Vorrang bei der Vergabe von Industrieflächen an Offshore-Anbindungspunkten.</w:t>
      </w:r>
    </w:p>
    <w:p>
      <w:pPr>
        <w:pStyle w:val="ListBullet"/>
      </w:pPr>
      <w:r>
        <w:rPr>
          <w:b/>
        </w:rPr>
        <w:t>Pilotprojekte ohne uneinheitliche Länderpraxis:</w:t>
      </w:r>
      <w:r>
        <w:t xml:space="preserve"> Bundesseitige Klarstellung der Genehmigungslage.</w:t>
      </w:r>
    </w:p>
    <w:p>
      <w:pPr>
        <w:pStyle w:val="ListBullet"/>
      </w:pPr>
      <w:r>
        <w:rPr>
          <w:b/>
        </w:rPr>
        <w:t>Technologieoffene Förderung von Elektrolyseuren.</w:t>
      </w:r>
    </w:p>
    <w:p>
      <w:pPr>
        <w:pStyle w:val="Heading2"/>
      </w:pPr>
      <w:r>
        <w:rPr>
          <w:rFonts w:ascii="Times New Roman" w:hAnsi="Times New Roman"/>
        </w:rPr>
        <w:t>Berührungspunkte und Spannungen</w:t>
      </w:r>
    </w:p>
    <w:p>
      <w:pPr>
        <w:pStyle w:val="ListBullet"/>
      </w:pPr>
      <w:r>
        <w:t>Beide Auftraggeber wollen Wasserstoffinfrastruktur, aber mit jeweils anderem Schwerpunkt.</w:t>
      </w:r>
    </w:p>
    <w:p>
      <w:pPr>
        <w:pStyle w:val="ListBullet"/>
      </w:pPr>
      <w:r>
        <w:t>Speicherprivilegierung (HansaH2) und Elektrolyse-Netzentgeltprivileg (Nordsee) sind komplementär, kollidieren aber im Netzentgeltgefüge.</w:t>
      </w:r>
    </w:p>
    <w:p>
      <w:pPr>
        <w:pStyle w:val="ListBullet"/>
      </w:pPr>
      <w:r>
        <w:t>Falls die Bundesregierung nur eines der beiden Privilegien umsetzt, ist mit Konflikten zu rechnen.</w:t>
      </w:r>
    </w:p>
    <w:p>
      <w:pPr>
        <w:pStyle w:val="ListBullet"/>
      </w:pPr>
      <w:r>
        <w:t>Andere Branchenakteure (Verbände Wasserstoff-Industrie, Pipeline-Betreiber, Importeure) sind eigenständig tätig; Spreebogen tritt nicht im Namen der Branche auf (vgl. § 5 des Mandatsvertrags).</w:t>
      </w:r>
    </w:p>
    <w:p>
      <w:pPr>
        <w:pStyle w:val="Heading2"/>
      </w:pPr>
      <w:r>
        <w:rPr>
          <w:rFonts w:ascii="Times New Roman" w:hAnsi="Times New Roman"/>
        </w:rPr>
        <w:t>Registertext (alt, verworfen)</w:t>
      </w:r>
    </w:p>
    <w:p>
      <w:pPr>
        <w:ind w:left="567"/>
      </w:pPr>
      <w:r>
        <w:rPr>
          <w:i/>
        </w:rPr>
        <w:t>"Spreebogen Regulatory vertritt die deutsche Wasserstoffwirtschaft bei Gesetzgebungsvorhaben."</w:t>
      </w:r>
    </w:p>
    <w:p>
      <w:pPr>
        <w:jc w:val="left"/>
      </w:pPr>
      <w:r>
        <w:t>(Diese Fassung war von OpenGrid Events UG für das parlamentarische Frühstück am 12.06.2026 vorformuliert. Sie ist sachlich falsch, weil Spreebogen nur zwei Auftraggeber vertritt, nicht die ganze Branche.)</w:t>
      </w:r>
    </w:p>
    <w:p>
      <w:pPr>
        <w:pStyle w:val="Heading2"/>
      </w:pPr>
      <w:r>
        <w:rPr>
          <w:rFonts w:ascii="Times New Roman" w:hAnsi="Times New Roman"/>
        </w:rPr>
        <w:t>Registertext (neu, abgestimmt mit beiden Auftraggebern)</w:t>
      </w:r>
    </w:p>
    <w:p>
      <w:pPr>
        <w:ind w:left="567"/>
      </w:pPr>
      <w:r>
        <w:rPr>
          <w:i/>
        </w:rPr>
        <w:t>"Interessenvertretung im Auftrag einzelner Unternehmen und eines Konsortiums zur gesetzlichen Beschleunigung und regulatorischen Behandlung von Wasserstoffspeichern und Elektrolyseuren im Rahmen des geplanten Wasserstoffbeschleunigungsgesetzes (WBG)."</w:t>
      </w:r>
    </w:p>
    <w:p>
      <w:pPr>
        <w:pStyle w:val="Heading2"/>
      </w:pPr>
      <w:r>
        <w:rPr>
          <w:rFonts w:ascii="Times New Roman" w:hAnsi="Times New Roman"/>
        </w:rPr>
        <w:t>Eintragsfeld "Regelungsvorhaben" (interner Vorschlag)</w:t>
      </w:r>
    </w:p>
    <w:p>
      <w:pPr>
        <w:jc w:val="left"/>
      </w:pPr>
      <w:r>
        <w:t>```</w:t>
      </w:r>
    </w:p>
    <w:p>
      <w:pPr>
        <w:jc w:val="left"/>
      </w:pPr>
      <w:r>
        <w:t>Regelungsvorhaben: Wasserstoffbeschleunigungsgesetz (WBG)</w:t>
      </w:r>
    </w:p>
    <w:p>
      <w:pPr>
        <w:jc w:val="left"/>
      </w:pPr>
      <w:r>
        <w:t>Art: Bundesgesetz, Referentenentwurf BMWK</w:t>
      </w:r>
    </w:p>
    <w:p>
      <w:pPr>
        <w:jc w:val="left"/>
      </w:pPr>
      <w:r>
        <w:t>Interesse HansaH2 Storage AG: Speicherprivilegierung, Planungsbeschleunigung, Duldungspflichten</w:t>
      </w:r>
    </w:p>
    <w:p>
      <w:pPr>
        <w:jc w:val="left"/>
      </w:pPr>
      <w:r>
        <w:t>Interesse Nordsee Elektrolyse Konsortium GbR: Netzentgeltprivileg, Flaechenzugang, Pilotprojekte</w:t>
      </w:r>
    </w:p>
    <w:p>
      <w:pPr>
        <w:jc w:val="left"/>
      </w:pPr>
      <w:r>
        <w:t>```</w:t>
      </w:r>
    </w:p>
    <w:p>
      <w:pPr>
        <w:pStyle w:val="Heading2"/>
      </w:pPr>
      <w:r>
        <w:rPr>
          <w:rFonts w:ascii="Times New Roman" w:hAnsi="Times New Roman"/>
        </w:rPr>
        <w:t>Stellungnahmen und Versanddaten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Stellungnahme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Versand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Q2-Upload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Bemerkung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HansaH2 zu Speicherprivilegierung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20.05.2026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erforderlich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drei Bundesadressaten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Nordsee Elektrolyse zu Netzentgelt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24.05.2026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erforderlich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zwei Bundesadressaten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Veröffentlichungstexte</w:t>
      </w:r>
    </w:p>
    <w:p>
      <w:pPr>
        <w:jc w:val="left"/>
      </w:pPr>
      <w:r>
        <w:t>Veröffentlichung der Stellungnahmen auf der Spreebogen-Internetseite ist mit beiden Auftraggebern abgestimmt. Der Verweis im Register erfolgt mit Veroeffentlichungs-URL und Versanddatum.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Federführung: Bundesministerium für Wirtschaft und Klimaschutz (BMWK)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4"/>
      </w:rPr>
      <w:t>Federführung: Bundesministerium für Wirtschaft und Klimaschutz (BMWK)</w:t>
    </w:r>
  </w:p>
  <w:p>
    <w:pPr>
      <w:jc w:val="left"/>
      <w:pBdr>
        <w:bottom w:val="single" w:sz="6" w:space="2" w:color="3B3F45"/>
      </w:pBdr>
    </w:pPr>
    <w:r>
      <w:rPr>
        <w:rFonts w:ascii="Times New Roman" w:hAnsi="Times New Roman"/>
        <w:color w:val="6B6B66"/>
        <w:sz w:val="16"/>
      </w:rPr>
      <w:t>Behörde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