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Stellungnahme HansaH2 Storage AG zum Wasserstoffbeschleunigungsgesetz</w:t>
      </w:r>
    </w:p>
    <w:p>
      <w:pPr>
        <w:jc w:val="left"/>
      </w:pPr>
      <w:r>
        <w:rPr>
          <w:b/>
        </w:rPr>
        <w:t>Auftraggeberin:</w:t>
      </w:r>
      <w:r>
        <w:t xml:space="preserve"> HansaH2 Storage AG, Versmannstr. 33, 20457 Hamburg</w:t>
      </w:r>
    </w:p>
    <w:p>
      <w:pPr>
        <w:jc w:val="left"/>
      </w:pPr>
      <w:r>
        <w:rPr>
          <w:b/>
        </w:rPr>
        <w:t>Erstellung durch:</w:t>
      </w:r>
      <w:r>
        <w:t xml:space="preserve"> Spreebogen Regulatory GmbH, Lea Sommer (LP), Nils Tietjen (Energiewirtschaft)</w:t>
      </w:r>
    </w:p>
    <w:p>
      <w:pPr>
        <w:jc w:val="left"/>
      </w:pPr>
      <w:r>
        <w:rPr>
          <w:b/>
        </w:rPr>
        <w:t>Versanddatum:</w:t>
      </w:r>
      <w:r>
        <w:t xml:space="preserve"> 20.05.2026</w:t>
      </w:r>
    </w:p>
    <w:p>
      <w:pPr>
        <w:jc w:val="left"/>
      </w:pPr>
      <w:r>
        <w:rPr>
          <w:b/>
        </w:rPr>
        <w:t>Versand an:</w:t>
      </w:r>
    </w:p>
    <w:p>
      <w:pPr>
        <w:pStyle w:val="ListBullet"/>
      </w:pPr>
      <w:r>
        <w:t>BMWK, Referat III B 2 (Wasserstoff)</w:t>
      </w:r>
    </w:p>
    <w:p>
      <w:pPr>
        <w:pStyle w:val="ListBullet"/>
      </w:pPr>
      <w:r>
        <w:t>BMF, Referat Energie</w:t>
      </w:r>
    </w:p>
    <w:p>
      <w:pPr>
        <w:pStyle w:val="ListBullet"/>
      </w:pPr>
      <w:r>
        <w:t>MdB Karin Reimers (Finanzausschuss)</w:t>
      </w:r>
    </w:p>
    <w:p>
      <w:pPr>
        <w:pStyle w:val="ListBullet"/>
      </w:pPr>
      <w:r>
        <w:t>MdB Tom Albrecht (Verkehrsausschuss)</w:t>
      </w:r>
    </w:p>
    <w:p>
      <w:pPr>
        <w:jc w:val="left"/>
      </w:pPr>
      <w:r>
        <w:rPr>
          <w:b/>
        </w:rPr>
        <w:t>Status Register:</w:t>
      </w:r>
      <w:r>
        <w:t xml:space="preserve"> grundlegende Stellungnahme, Q2-Upload erforderlich, geplante Veröffentlichung 30.06.2026 auf &lt;https://www.hansah2.de/positionen&gt;.</w:t>
      </w:r>
    </w:p>
    <w:p>
      <w:pPr>
        <w:pStyle w:val="Heading2"/>
      </w:pPr>
      <w:r>
        <w:rPr>
          <w:rFonts w:ascii="Times New Roman" w:hAnsi="Times New Roman"/>
        </w:rPr>
        <w:t>Kernaussagen</w:t>
      </w:r>
    </w:p>
    <w:p>
      <w:pPr>
        <w:pStyle w:val="ListNumber"/>
      </w:pPr>
      <w:r>
        <w:t>Wasserstoffspeicher benötigen planungsrechtliche Beschleunigung in einem Umfang, der dem Stromnetzausbau (NABEG) vergleichbar ist.</w:t>
      </w:r>
    </w:p>
    <w:p>
      <w:pPr>
        <w:pStyle w:val="ListNumber"/>
      </w:pPr>
      <w:r>
        <w:t>Eine Speicherprivilegierung im EnWG, analog § 11b EnWG für Stromspeicher, ist unverzüglich umzusetzen.</w:t>
      </w:r>
    </w:p>
    <w:p>
      <w:pPr>
        <w:pStyle w:val="ListNumber"/>
      </w:pPr>
      <w:r>
        <w:t>Netzkosten dürfen Investitionsentscheidungen nicht blockieren. Eine differenzierte Netzentgeltregelung für Speicheranschlüsse ist erforderlich.</w:t>
      </w:r>
    </w:p>
    <w:p>
      <w:pPr>
        <w:pStyle w:val="ListNumber"/>
      </w:pPr>
      <w:r>
        <w:t>Übergangsfristen für bestehende Speicherprojekte sind zu schaffen, damit bereits genehmigte Vorhaben nicht durch eine neue Rechtslage zurückgeworfen werden.</w:t>
      </w:r>
    </w:p>
    <w:p>
      <w:pPr>
        <w:pStyle w:val="ListNumber"/>
      </w:pPr>
      <w:r>
        <w:t>Duldungspflichten der Grundstückseigentümer analog § 44 EnWG sind klarzustellen, weil Wasserstofftransportleitungen oft über Land verlaufen, das im Streit steht.</w:t>
      </w:r>
    </w:p>
    <w:p>
      <w:pPr>
        <w:pStyle w:val="Heading2"/>
      </w:pPr>
      <w:r>
        <w:rPr>
          <w:rFonts w:ascii="Times New Roman" w:hAnsi="Times New Roman"/>
        </w:rPr>
        <w:t>Zahlen und Kostengruppen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Sachverhalt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Investitionsvolumen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Speicher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Speicheranteil HansaH2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Wasserstoffspeicher Nord (Salzkavernen)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1,4 Mrd.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Wasserstoffspeicher Süd (Aquifer)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720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110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Speicheranbindung Importterminal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240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 Mio. EUR</w:t>
            </w:r>
          </w:p>
        </w:tc>
      </w:tr>
    </w:tbl>
    <w:p>
      <w:pPr>
        <w:jc w:val="left"/>
      </w:pPr>
      <w:r>
        <w:t>(Quelle: interne Investitionsplanung HansaH2 Storage AG 2025-2030; keine Veröffentlichung im Bundestags-Datenroom.)</w:t>
      </w:r>
    </w:p>
    <w:p>
      <w:pPr>
        <w:pStyle w:val="Heading2"/>
      </w:pPr>
      <w:r>
        <w:rPr>
          <w:rFonts w:ascii="Times New Roman" w:hAnsi="Times New Roman"/>
        </w:rPr>
        <w:t>Empfehlungen</w:t>
      </w:r>
    </w:p>
    <w:p>
      <w:pPr>
        <w:pStyle w:val="ListNumber"/>
      </w:pPr>
      <w:r>
        <w:t>EnWG-Änderung: Einfügen eines § 11c "Speicherprivilegierung Wasserstoff".</w:t>
      </w:r>
    </w:p>
    <w:p>
      <w:pPr>
        <w:pStyle w:val="ListNumber"/>
      </w:pPr>
      <w:r>
        <w:t>EnWG-Änderung: Erweiterung von § 44 für Wasserstoffleitungen.</w:t>
      </w:r>
    </w:p>
    <w:p>
      <w:pPr>
        <w:pStyle w:val="ListNumber"/>
      </w:pPr>
      <w:r>
        <w:t>Klare Genehmigungsfrist von 12 Monaten ab vollständiger Antragsunterlage.</w:t>
      </w:r>
    </w:p>
    <w:p>
      <w:pPr>
        <w:pStyle w:val="ListNumber"/>
      </w:pPr>
      <w:r>
        <w:t>Übergangsregelung: Vorhaben mit Genehmigungsantrag bis 31.12.2026 fallen unter bisheriges Recht.</w:t>
      </w:r>
    </w:p>
    <w:p>
      <w:pPr>
        <w:pStyle w:val="Heading2"/>
      </w:pPr>
      <w:r>
        <w:rPr>
          <w:rFonts w:ascii="Times New Roman" w:hAnsi="Times New Roman"/>
        </w:rPr>
        <w:t>Hinweis zur Veröffentlichung im Lobbyregister</w:t>
      </w:r>
    </w:p>
    <w:p>
      <w:pPr>
        <w:jc w:val="left"/>
      </w:pPr>
      <w:r>
        <w:t xml:space="preserve">Die Stellungnahme ist eine </w:t>
      </w:r>
      <w:r>
        <w:rPr>
          <w:b/>
        </w:rPr>
        <w:t>grundlegende Stellungnahme</w:t>
      </w:r>
      <w:r>
        <w:t xml:space="preserve"> im Sinne des § 5 Abs. 1 Nr. 5 LobbyRG. Sie ist im Quartalsupload Q2/2026 hochzuladen. Versand mit dem Auftraggeber HansaH2 wird im Register als Mandat HansaH2 ausgewiesen; Nordsee Elektrolyse Konsortium GbR ist hier nicht zu nennen, weil die Stellungnahme ausschliesslich aus dem HansaH2-Mandat heraus erfolgt.</w:t>
      </w:r>
    </w:p>
    <w:p>
      <w:pPr>
        <w:pStyle w:val="Heading2"/>
      </w:pPr>
      <w:r>
        <w:rPr>
          <w:rFonts w:ascii="Times New Roman" w:hAnsi="Times New Roman"/>
        </w:rPr>
        <w:t>Compliance-Hinweis Spreebogen</w:t>
      </w:r>
    </w:p>
    <w:p>
      <w:pPr>
        <w:pStyle w:val="ListBullet"/>
      </w:pPr>
      <w:r>
        <w:t>Die Stellungnahme ist mit Christine Luehrs (HansaH2) am 18.05.2026 schriftlich freigegeben.</w:t>
      </w:r>
    </w:p>
    <w:p>
      <w:pPr>
        <w:pStyle w:val="ListBullet"/>
      </w:pPr>
      <w:r>
        <w:t>Die Stellungnahme behauptet keine Branchenrepräsentation; sie spricht im Auftrag der HansaH2 Storage AG.</w:t>
      </w:r>
    </w:p>
    <w:p>
      <w:pPr>
        <w:pStyle w:val="ListBullet"/>
      </w:pPr>
      <w:r>
        <w:t>Eine inhaltliche Querverbindung zu den Anliegen der Nordsee Elektrolyse Konsortium GbR ist nicht hergestellt, weder im Text noch im Versand.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Stellungnahme HansaH2 Storage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Stellungnahme HansaH2 Storage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