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Nordsee Elektrolyse Konsortium GbR</w:t>
      </w:r>
    </w:p>
    <w:p>
      <w:pPr>
        <w:jc w:val="left"/>
      </w:pPr>
      <w:r>
        <w:rPr>
          <w:b/>
        </w:rPr>
        <w:t>Auftraggeberin:</w:t>
      </w:r>
      <w:r>
        <w:t xml:space="preserve"> Nordsee Elektrolyse Konsortium GbR, Brueckenstr. 4, 27568 Bremerhaven</w:t>
      </w:r>
    </w:p>
    <w:p>
      <w:pPr>
        <w:jc w:val="left"/>
      </w:pPr>
      <w:r>
        <w:rPr>
          <w:b/>
        </w:rPr>
        <w:t>Konsortialmitglieder:</w:t>
      </w:r>
      <w:r>
        <w:t xml:space="preserve"> SoltauStrom AG (40%), KuestenH2 GmbH (35%), AmrumEnergy KG (25%)</w:t>
      </w:r>
    </w:p>
    <w:p>
      <w:pPr>
        <w:jc w:val="left"/>
      </w:pPr>
      <w:r>
        <w:rPr>
          <w:b/>
        </w:rPr>
        <w:t>Erstellung durch:</w:t>
      </w:r>
      <w:r>
        <w:t xml:space="preserve"> Spreebogen Regulatory GmbH, Lea Sommer; Tarek Abadi (zusätzlich Konsortialvertreter)</w:t>
      </w:r>
    </w:p>
    <w:p>
      <w:pPr>
        <w:jc w:val="left"/>
      </w:pPr>
      <w:r>
        <w:rPr>
          <w:b/>
        </w:rPr>
        <w:t>Versanddatum:</w:t>
      </w:r>
      <w:r>
        <w:t xml:space="preserve"> 24.05.2026</w:t>
      </w:r>
    </w:p>
    <w:p>
      <w:pPr>
        <w:jc w:val="left"/>
      </w:pPr>
      <w:r>
        <w:rPr>
          <w:b/>
        </w:rPr>
        <w:t>Versand an:</w:t>
      </w:r>
    </w:p>
    <w:p>
      <w:pPr>
        <w:pStyle w:val="ListBullet"/>
      </w:pPr>
      <w:r>
        <w:t>BMWK, Referat III B 2 (Wasserstoff)</w:t>
      </w:r>
    </w:p>
    <w:p>
      <w:pPr>
        <w:pStyle w:val="ListBullet"/>
      </w:pPr>
      <w:r>
        <w:t>BMWK, Staatssekretariat</w:t>
      </w:r>
    </w:p>
    <w:p>
      <w:pPr>
        <w:pStyle w:val="ListBullet"/>
      </w:pPr>
      <w:r>
        <w:t>MdB Maxine Cordova (Energie-AG)</w:t>
      </w:r>
    </w:p>
    <w:p>
      <w:pPr>
        <w:pStyle w:val="ListBullet"/>
      </w:pPr>
      <w:r>
        <w:t>MdB Aisha Karim (Energie-AG)</w:t>
      </w:r>
    </w:p>
    <w:p>
      <w:pPr>
        <w:jc w:val="left"/>
      </w:pPr>
      <w:r>
        <w:rPr>
          <w:b/>
        </w:rPr>
        <w:t>Status Register:</w:t>
      </w:r>
      <w:r>
        <w:t xml:space="preserve"> grundlegende Stellungnahme, Q2-Upload erforderlich, Veröffentlichung 30.06.2026 auf &lt;https://www.spreebogen-reg.de/clients&gt;.</w:t>
      </w:r>
    </w:p>
    <w:p>
      <w:pPr>
        <w:pStyle w:val="Heading2"/>
      </w:pPr>
      <w:r>
        <w:rPr>
          <w:rFonts w:ascii="Times New Roman" w:hAnsi="Times New Roman"/>
        </w:rPr>
        <w:t>Kernaussagen</w:t>
      </w:r>
    </w:p>
    <w:p>
      <w:pPr>
        <w:pStyle w:val="ListNumber"/>
      </w:pPr>
      <w:r>
        <w:t>Elektrolyseure an Offshore-Anbindungspunkten brauchen Vorrang im Netzausbau und Vorrang im Flächenzugang.</w:t>
      </w:r>
    </w:p>
    <w:p>
      <w:pPr>
        <w:pStyle w:val="ListNumber"/>
      </w:pPr>
      <w:r>
        <w:t>Die Finanzierung des Netzanschlusses muss technologieoffen sein.</w:t>
      </w:r>
    </w:p>
    <w:p>
      <w:pPr>
        <w:pStyle w:val="ListNumber"/>
      </w:pPr>
      <w:r>
        <w:t>Pilotprojekte sollen nicht durch uneinheitliche Länderpraxis blockiert werden.</w:t>
      </w:r>
    </w:p>
    <w:p>
      <w:pPr>
        <w:pStyle w:val="ListNumber"/>
      </w:pPr>
      <w:r>
        <w:t>Netzentgeltprivileg für Elektrolyseure mit Volllaststundenrahmen.</w:t>
      </w:r>
    </w:p>
    <w:p>
      <w:pPr>
        <w:pStyle w:val="ListNumber"/>
      </w:pPr>
      <w:r>
        <w:t>Schnellverfahren für Genehmigungen an bereits gewidmeten Industriestandorten.</w:t>
      </w:r>
    </w:p>
    <w:p>
      <w:pPr>
        <w:pStyle w:val="Heading2"/>
      </w:pPr>
      <w:r>
        <w:rPr>
          <w:rFonts w:ascii="Times New Roman" w:hAnsi="Times New Roman"/>
        </w:rPr>
        <w:t>Konsortialspezifische Hinweise</w:t>
      </w:r>
    </w:p>
    <w:p>
      <w:pPr>
        <w:pStyle w:val="ListBullet"/>
      </w:pPr>
      <w:r>
        <w:t>Das Konsortium betreibt drei Pilotanlagen (Stade, Heide, Brunsbuettel) und plant zwei weitere (Cuxhaven, Wilhelmshaven). Gesamtelektrolysekapazitaet bis 2030 zielprojektiert 480 MW.</w:t>
      </w:r>
    </w:p>
    <w:p>
      <w:pPr>
        <w:pStyle w:val="ListBullet"/>
      </w:pPr>
      <w:r>
        <w:t>Drei der fünf Standorte liegen in einer Pilotregion mit Erfahrungen aus dem 2024 ausgelaufenen Förderprogramm "H2-Region Norddeutschland".</w:t>
      </w:r>
    </w:p>
    <w:p>
      <w:pPr>
        <w:pStyle w:val="ListBullet"/>
      </w:pPr>
      <w:r>
        <w:t>Die Konsortialvereinbarung sieht vor, dass jede Aussenkommunikation einstimmig getragen wird. Dies ist hier durch Beschluss vom 20.05.2026 sichergestellt.</w:t>
      </w:r>
    </w:p>
    <w:p>
      <w:pPr>
        <w:pStyle w:val="Heading2"/>
      </w:pPr>
      <w:r>
        <w:rPr>
          <w:rFonts w:ascii="Times New Roman" w:hAnsi="Times New Roman"/>
        </w:rPr>
        <w:t>Konflikt mit der HansaH2-Stellungnahme</w:t>
      </w:r>
    </w:p>
    <w:p>
      <w:pPr>
        <w:jc w:val="left"/>
      </w:pPr>
      <w:r>
        <w:t>Die Forderung nach Netzentgeltprivilegien (Elektrolyse) und die Forderung nach Speicherprivilegierung (HansaH2) sind nicht zwingend konsistent. Wenn das Netzentgeltgefüge zu Gunsten von Elektrolyseuren angepasst wird, kann das die Wirtschaftlichkeit von Speichern indirekt beeinträchtigen. Beide Auftraggeber haben dies in einer gemeinsamen Sitzung am 19.05.2026 zur Kenntnis genommen und Spreebogen freigestellt, die jeweils eigene Position separat zu vertreten.</w:t>
      </w:r>
    </w:p>
    <w:p>
      <w:pPr>
        <w:pStyle w:val="Heading2"/>
      </w:pPr>
      <w:r>
        <w:rPr>
          <w:rFonts w:ascii="Times New Roman" w:hAnsi="Times New Roman"/>
        </w:rPr>
        <w:t>Hinweis zur Veröffentlichung im Lobbyregister</w:t>
      </w:r>
    </w:p>
    <w:p>
      <w:pPr>
        <w:jc w:val="left"/>
      </w:pPr>
      <w:r>
        <w:t>Stellungnahme ist im Quartalsupload Q2/2026 als grundlegende Stellungnahme zu führen. Mandant ist die Nordsee Elektrolyse Konsortium GbR. HansaH2 wird hier nicht genannt.</w:t>
      </w:r>
    </w:p>
    <w:p>
      <w:pPr>
        <w:pStyle w:val="Heading2"/>
      </w:pPr>
      <w:r>
        <w:rPr>
          <w:rFonts w:ascii="Times New Roman" w:hAnsi="Times New Roman"/>
        </w:rPr>
        <w:t>Compliance-Hinweis Spreebogen</w:t>
      </w:r>
    </w:p>
    <w:p>
      <w:pPr>
        <w:pStyle w:val="ListBullet"/>
      </w:pPr>
      <w:r>
        <w:t>Tarek Abadi ist sowohl Vertreter der Auftraggeberin als auch beratend tätig für Spreebogen. Diese Doppelrolle ist mit Mandantenvertrag NEK-2026 schriftlich offen gelegt; sie ist im Compliance-Register vermerkt.</w:t>
      </w:r>
    </w:p>
    <w:p>
      <w:pPr>
        <w:pStyle w:val="ListBullet"/>
      </w:pPr>
      <w:r>
        <w:t>Honorar für das Konsortium ist mit 12.500 EUR netto monatlich vereinbart. Die Aprilrechnung (R-NEK-2026-04) ist überfällig (Stand 22.05.2026). Spreebogen hat Mahnstand 1 am 14.05.2026 versendet.</w:t>
      </w:r>
    </w:p>
    <w:p>
      <w:pPr>
        <w:pStyle w:val="ListBullet"/>
      </w:pPr>
      <w:r>
        <w:t>Der Zahlungsverzug beeinflusst die Eintragspflicht nicht. Die Mandatsbeziehung besteht; das Mandat ist nicht gekündigt.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SoltauStrom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SoltauStrom AG</w:t>
    </w:r>
  </w:p>
  <w:p>
    <w:pPr>
      <w:jc w:val="left"/>
      <w:pBdr>
        <w:bottom w:val="single" w:sz="6" w:space="2" w:color="3B3F45"/>
      </w:pBdr>
    </w:pPr>
    <w:r>
      <w:rPr>
        <w:rFonts w:ascii="Times New Roman" w:hAnsi="Times New Roman"/>
        <w:color w:val="6B6B66"/>
        <w:sz w:val="16"/>
      </w:rPr>
      <w:t>KuestenH2 GmbH (35%), AmrumEnergy KG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