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Kontaktleitfaden und Offenlegungssaetze</w:t>
      </w:r>
    </w:p>
    <w:p>
      <w:pPr>
        <w:jc w:val="left"/>
      </w:pPr>
      <w:r>
        <w:rPr>
          <w:b/>
        </w:rPr>
        <w:t>Verbindlich für:</w:t>
      </w:r>
      <w:r>
        <w:t xml:space="preserve"> alle Mitarbeitern der Spreebogen Regulatory GmbH, alle eingebundenen Unterauftragnehmer, alle aus den Mandaten heraus auftretenden Personen</w:t>
      </w:r>
    </w:p>
    <w:p>
      <w:pPr>
        <w:jc w:val="left"/>
      </w:pPr>
      <w:r>
        <w:rPr>
          <w:b/>
        </w:rPr>
        <w:t>Stand:</w:t>
      </w:r>
      <w:r>
        <w:t xml:space="preserve"> 22.05.2026</w:t>
      </w:r>
    </w:p>
    <w:p>
      <w:pPr>
        <w:jc w:val="left"/>
      </w:pPr>
      <w:r>
        <w:rPr>
          <w:b/>
        </w:rPr>
        <w:t>Freigabe:</w:t>
      </w:r>
      <w:r>
        <w:t xml:space="preserve"> Mara Wendt, Lea Sommer</w:t>
      </w:r>
    </w:p>
    <w:p>
      <w:pPr>
        <w:pStyle w:val="Heading2"/>
      </w:pPr>
      <w:r>
        <w:rPr>
          <w:rFonts w:ascii="Times New Roman" w:hAnsi="Times New Roman"/>
        </w:rPr>
        <w:t>1. Offenlegungssatz HansaH2 (mandatsexklusiv)</w:t>
      </w:r>
    </w:p>
    <w:p>
      <w:pPr>
        <w:ind w:left="567"/>
      </w:pPr>
      <w:r>
        <w:rPr>
          <w:i/>
        </w:rPr>
        <w:t>"Ich kontaktiere Sie für die Spreebogen Regulatory GmbH im Auftrag der HansaH2 Storage AG zum geplanten Wasserstoffbeschleunigungsgesetz. Unsere Mandatin verfolgt insbesondere die Speicherprivilegierung und Planungsbeschleunigung. Unser Eintrag im Lobbyregister wird derzeit aktualisiert."</w:t>
      </w:r>
    </w:p>
    <w:p>
      <w:pPr>
        <w:pStyle w:val="Heading2"/>
      </w:pPr>
      <w:r>
        <w:rPr>
          <w:rFonts w:ascii="Times New Roman" w:hAnsi="Times New Roman"/>
        </w:rPr>
        <w:t>2. Offenlegungssatz Nordsee Elektrolyse (mandatsexklusiv)</w:t>
      </w:r>
    </w:p>
    <w:p>
      <w:pPr>
        <w:ind w:left="567"/>
      </w:pPr>
      <w:r>
        <w:rPr>
          <w:i/>
        </w:rPr>
        <w:t>"Ich kontaktiere Sie für die Spreebogen Regulatory GmbH im Auftrag der Nordsee Elektrolyse Konsortium GbR zum geplanten Wasserstoffbeschleunigungsgesetz. Das Konsortium verfolgt insbesondere ein Netzentgeltprivileg für Elektrolyseure und Flächenzugang an Offshore-Anbindungspunkten."</w:t>
      </w:r>
    </w:p>
    <w:p>
      <w:pPr>
        <w:pStyle w:val="Heading2"/>
      </w:pPr>
      <w:r>
        <w:rPr>
          <w:rFonts w:ascii="Times New Roman" w:hAnsi="Times New Roman"/>
        </w:rPr>
        <w:t>3. Offenlegungssatz für beide Auftraggeber (Sondersituation gemeinsamer Termin)</w:t>
      </w:r>
    </w:p>
    <w:p>
      <w:pPr>
        <w:ind w:left="567"/>
      </w:pPr>
      <w:r>
        <w:rPr>
          <w:i/>
        </w:rPr>
        <w:t>"Ich kontaktiere Sie für die Spreebogen Regulatory GmbH im Auftrag der HansaH2 Storage AG und der Nordsee Elektrolyse Konsortium GbR. Beide Auftraggeber verfolgen unterschiedliche Aspekte desselben Regelungsvorhabens. Ich werde gleich darstellen, für welches Anliegen ich heute aufgesetzt bin."</w:t>
      </w:r>
    </w:p>
    <w:p>
      <w:pPr>
        <w:jc w:val="left"/>
      </w:pPr>
      <w:r>
        <w:rPr>
          <w:b/>
        </w:rPr>
        <w:t>Diese Variante darf nur verwendet werden, wenn beide Auftraggeber den gemeinsamen Auftritt freigegeben haben.</w:t>
      </w:r>
      <w:r>
        <w:t xml:space="preserve"> Sie ist in den letzten zwei Monaten zweimal verwendet worden: 28.04.2026 (BMWK Referat III B 2) und 24.05.2026 (BMWK Staatssekretariat). Beides war abgestimmt.</w:t>
      </w:r>
    </w:p>
    <w:p>
      <w:pPr>
        <w:pStyle w:val="Heading2"/>
      </w:pPr>
      <w:r>
        <w:rPr>
          <w:rFonts w:ascii="Times New Roman" w:hAnsi="Times New Roman"/>
        </w:rPr>
        <w:t>4. No-Gos</w:t>
      </w:r>
    </w:p>
    <w:p>
      <w:pPr>
        <w:pStyle w:val="ListBullet"/>
      </w:pPr>
      <w:r>
        <w:t>"Wir sprechen für die deutsche Wasserstoffwirtschaft." – falsch. Wir sprechen für zwei Auftraggeber. Vorfall OpenGrid 21.05.2026 darf sich nicht wiederholen.</w:t>
      </w:r>
    </w:p>
    <w:p>
      <w:pPr>
        <w:pStyle w:val="ListBullet"/>
      </w:pPr>
      <w:r>
        <w:t>"Wir vertreten die Interessen aller H2-Akteure." – falsch.</w:t>
      </w:r>
    </w:p>
    <w:p>
      <w:pPr>
        <w:pStyle w:val="ListBullet"/>
      </w:pPr>
      <w:r>
        <w:t>Erwähnung eines anderen Auftraggebers in einem Termin, der nur für einen Auftraggeber läuft. Vorfall MdB Reimers 12.05.2026: gemischte Erwähnung; Korrektur im Kontaktlog ergänzt.</w:t>
      </w:r>
    </w:p>
    <w:p>
      <w:pPr>
        <w:pStyle w:val="ListBullet"/>
      </w:pPr>
      <w:r>
        <w:t>Geschenke, Einladungen oder Bewirtungen über den geltenden Verhaltenskodex (Anlage 2 LobbyRG) hinaus.</w:t>
      </w:r>
    </w:p>
    <w:p>
      <w:pPr>
        <w:pStyle w:val="ListBullet"/>
      </w:pPr>
      <w:r>
        <w:t>Aussagen zur Honorarhöhe der Mandate oder zu Geschäftsstrategien einzelner Konsortialmitglieder.</w:t>
      </w:r>
    </w:p>
    <w:p>
      <w:pPr>
        <w:pStyle w:val="ListBullet"/>
      </w:pPr>
      <w:r>
        <w:t>Versprechen über Wahlverhalten oder Spendenzusagen.</w:t>
      </w:r>
    </w:p>
    <w:p>
      <w:pPr>
        <w:pStyle w:val="Heading2"/>
      </w:pPr>
      <w:r>
        <w:rPr>
          <w:rFonts w:ascii="Times New Roman" w:hAnsi="Times New Roman"/>
        </w:rPr>
        <w:t>5. Dokumentationspflicht</w:t>
      </w:r>
    </w:p>
    <w:p>
      <w:pPr>
        <w:jc w:val="left"/>
      </w:pPr>
      <w:r>
        <w:t>Jeder Kontakt wird binnen 24 Stunden in 04_kontaktlog_berlin.csv eingetragen. Spalten: datum, adressat, auftraggeber, person, kanal, minuten, erstkontakt, offenlegung_ok, thema, notiz. Bei unklarer Offenlegung den Eintrag "offenlegung_ok = unklar" setzen und im Compliance-Tagesreview klären.</w:t>
      </w:r>
    </w:p>
    <w:p>
      <w:pPr>
        <w:pStyle w:val="Heading2"/>
      </w:pPr>
      <w:r>
        <w:rPr>
          <w:rFonts w:ascii="Times New Roman" w:hAnsi="Times New Roman"/>
        </w:rPr>
        <w:t>6. Eskalationspfad</w:t>
      </w:r>
    </w:p>
    <w:p>
      <w:pPr>
        <w:pStyle w:val="ListBullet"/>
      </w:pPr>
      <w:r>
        <w:t>Unklarheiten direkt an Mara Wendt (CEO) oder Frederik Holst (Compliance).</w:t>
      </w:r>
    </w:p>
    <w:p>
      <w:pPr>
        <w:pStyle w:val="ListBullet"/>
      </w:pPr>
      <w:r>
        <w:t>Fragen zur Eintragung an Stern &amp; Partner mbB (Dr. Annegret Beimer, Tel. 030-23 99 14 22).</w:t>
      </w:r>
    </w:p>
    <w:p>
      <w:pPr>
        <w:pStyle w:val="ListBullet"/>
      </w:pPr>
      <w:r>
        <w:t>Bei Konflikt zwischen Auftraggebern: Kontaktdelegation an einen anderen Mitarbeitern, nicht Doppelmandatfuehrung am selben Tisch.</w:t>
      </w:r>
    </w:p>
    <w:p>
      <w:pPr>
        <w:pStyle w:val="Heading2"/>
      </w:pPr>
      <w:r>
        <w:rPr>
          <w:rFonts w:ascii="Times New Roman" w:hAnsi="Times New Roman"/>
        </w:rPr>
        <w:t>7. Schulung</w:t>
      </w:r>
    </w:p>
    <w:p>
      <w:pPr>
        <w:jc w:val="left"/>
      </w:pPr>
      <w:r>
        <w:t>Pflichtschulung 31.05.2026 (Compliance-Update). Teilnahme protokolliert. Wer nicht teilgenommen hat, darf bis Nachholung keine Bundeskontakte führen.</w:t>
      </w:r>
    </w:p>
    <w:p>
      <w:pPr>
        <w:pStyle w:val="Heading2"/>
      </w:pPr>
      <w:r>
        <w:rPr>
          <w:rFonts w:ascii="Times New Roman" w:hAnsi="Times New Roman"/>
        </w:rPr>
        <w:t>8. Verhältnis zur Anlage 2 LobbyRG (Verhaltenskodex)</w:t>
      </w:r>
    </w:p>
    <w:p>
      <w:pPr>
        <w:jc w:val="left"/>
      </w:pPr>
      <w:r>
        <w:t>Der Kodex schreibt vor, sich bei Kontakten als Interessenvertreter zu erkennen zu geben und das vertretene Interesse zu nennen. Die Sätze 1 bis 3 entsprechen dem Kodex. Die No-Gos in Ziffer 4 sind aus dem Kodex und aus den Mandatsvertraegen (§ 5, § 9) abgeleitet.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Spreebogen Regulatory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Spreebogen Regulatory GmbH</w:t>
    </w:r>
  </w:p>
  <w:p>
    <w:pPr>
      <w:jc w:val="left"/>
      <w:pBdr>
        <w:bottom w:val="single" w:sz="6" w:space="2" w:color="3B3F45"/>
      </w:pBdr>
    </w:pPr>
    <w:r>
      <w:rPr>
        <w:rFonts w:ascii="Times New Roman" w:hAnsi="Times New Roman"/>
        <w:color w:val="6B6B66"/>
        <w:sz w:val="16"/>
      </w:rPr>
      <w:t>alle eingebundenen Unterauftragnehmer, alle aus den Mandaten heraus auftretenden Personen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