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Anlagenverzeichnis für die Registerakte Q2/2026</w:t>
      </w:r>
    </w:p>
    <w:p>
      <w:pPr>
        <w:jc w:val="left"/>
      </w:pPr>
      <w:r>
        <w:rPr>
          <w:b/>
        </w:rPr>
        <w:t>Stand:</w:t>
      </w:r>
      <w:r>
        <w:t xml:space="preserve"> 26.05.2026</w:t>
      </w:r>
    </w:p>
    <w:p>
      <w:pPr>
        <w:jc w:val="left"/>
      </w:pPr>
      <w:r>
        <w:rPr>
          <w:b/>
        </w:rPr>
        <w:t>Bearbeitung:</w:t>
      </w:r>
      <w:r>
        <w:t xml:space="preserve"> Frederik Holst (Compliance Spreebogen)</w:t>
      </w:r>
    </w:p>
    <w:p>
      <w:pPr>
        <w:jc w:val="left"/>
      </w:pPr>
      <w:r>
        <w:rPr>
          <w:b/>
        </w:rPr>
        <w:t>Aktenstruktur:</w:t>
      </w:r>
      <w:r>
        <w:t xml:space="preserve"> SBR-LR-2026/Q2-014</w:t>
      </w:r>
    </w:p>
    <w:p>
      <w:pPr>
        <w:pStyle w:val="Heading2"/>
      </w:pPr>
      <w:r>
        <w:rPr>
          <w:rFonts w:ascii="Times New Roman" w:hAnsi="Times New Roman"/>
        </w:rPr>
        <w:t>Mandate</w:t>
      </w:r>
    </w:p>
    <w:p>
      <w:pPr>
        <w:pStyle w:val="ListNumber"/>
      </w:pPr>
      <w:r>
        <w:t>Mandatsvertrag HansaH2 Storage AG vom 01.02.2026, einschliesslich Anlage 2 (Eintragstextentwurf)</w:t>
      </w:r>
    </w:p>
    <w:p>
      <w:pPr>
        <w:pStyle w:val="ListNumber"/>
      </w:pPr>
      <w:r>
        <w:t>Mandatsvertrag Nordsee Elektrolyse Konsortium GbR vom 15.03.2026, einschliesslich Anlage 2 und Konsortialvereinbarung</w:t>
      </w:r>
    </w:p>
    <w:p>
      <w:pPr>
        <w:pStyle w:val="ListNumber"/>
      </w:pPr>
      <w:r>
        <w:t>Mandatsfreigabeschreiben HansaH2 vom 26.05.2026 (Korrekturbitte Eintragstext)</w:t>
      </w:r>
    </w:p>
    <w:p>
      <w:pPr>
        <w:pStyle w:val="ListNumber"/>
      </w:pPr>
      <w:r>
        <w:t>Konsortialbeschluss Nordsee Elektrolyse vom 19.05.2026 zur Eintragsformulierung</w:t>
      </w:r>
    </w:p>
    <w:p>
      <w:pPr>
        <w:pStyle w:val="Heading2"/>
      </w:pPr>
      <w:r>
        <w:rPr>
          <w:rFonts w:ascii="Times New Roman" w:hAnsi="Times New Roman"/>
        </w:rPr>
        <w:t>Kontakt- und Schwellenprüfung</w:t>
      </w:r>
    </w:p>
    <w:p>
      <w:pPr>
        <w:pStyle w:val="ListNumber"/>
      </w:pPr>
      <w:r>
        <w:t>Auftraggebermatrix, Stand 26.05.2026 (02_auftraggebermatrix.csv)</w:t>
      </w:r>
    </w:p>
    <w:p>
      <w:pPr>
        <w:pStyle w:val="ListNumber"/>
      </w:pPr>
      <w:r>
        <w:t>Kontaktlog Berlin April/Mai 2026 (04_kontaktlog_berlin.csv, 31 Einträge; Stand 28.05.2026 voraussichtlich 35 Einträge)</w:t>
      </w:r>
    </w:p>
    <w:p>
      <w:pPr>
        <w:pStyle w:val="ListNumber"/>
      </w:pPr>
      <w:r>
        <w:t>Doppelrollen-Vermerk Tarek Abadi (interne Aktennotiz vom 02.04.2026)</w:t>
      </w:r>
    </w:p>
    <w:p>
      <w:pPr>
        <w:pStyle w:val="Heading2"/>
      </w:pPr>
      <w:r>
        <w:rPr>
          <w:rFonts w:ascii="Times New Roman" w:hAnsi="Times New Roman"/>
        </w:rPr>
        <w:t>Stellungnahmen</w:t>
      </w:r>
    </w:p>
    <w:p>
      <w:pPr>
        <w:pStyle w:val="ListNumber"/>
      </w:pPr>
      <w:r>
        <w:t>Stellungnahme HansaH2 vom 20.05.2026 (06_stellungnahme_hansa_h2.md)</w:t>
      </w:r>
    </w:p>
    <w:p>
      <w:pPr>
        <w:pStyle w:val="ListNumber"/>
      </w:pPr>
      <w:r>
        <w:t>Anschreiben Versand HansaH2 an BMWK/BMF/MdB Reimers/MdB Albrecht</w:t>
      </w:r>
    </w:p>
    <w:p>
      <w:pPr>
        <w:pStyle w:val="ListNumber"/>
      </w:pPr>
      <w:r>
        <w:t>Stellungnahme Nordsee Elektrolyse vom 24.05.2026 (07_stellungnahme_konsortium.md)</w:t>
      </w:r>
    </w:p>
    <w:p>
      <w:pPr>
        <w:pStyle w:val="ListNumber"/>
      </w:pPr>
      <w:r>
        <w:t>Anschreiben Versand Konsortium an BMWK/BMWK Staatssekretariat/MdB Cordova/MdB Karim</w:t>
      </w:r>
    </w:p>
    <w:p>
      <w:pPr>
        <w:pStyle w:val="ListNumber"/>
      </w:pPr>
      <w:r>
        <w:t>Quartalsupload-Log (08_quartalsupload_log.md)</w:t>
      </w:r>
    </w:p>
    <w:p>
      <w:pPr>
        <w:pStyle w:val="Heading2"/>
      </w:pPr>
      <w:r>
        <w:rPr>
          <w:rFonts w:ascii="Times New Roman" w:hAnsi="Times New Roman"/>
        </w:rPr>
        <w:t>OpenGrid Events UG</w:t>
      </w:r>
    </w:p>
    <w:p>
      <w:pPr>
        <w:pStyle w:val="ListNumber"/>
      </w:pPr>
      <w:r>
        <w:t>Vertrag mit OpenGrid Events UG vom 12.04.2026 inkl. Anlage 1 (Logistikleistungen)</w:t>
      </w:r>
    </w:p>
    <w:p>
      <w:pPr>
        <w:pStyle w:val="ListNumber"/>
      </w:pPr>
      <w:r>
        <w:t>Vertragsergänzung OpenGrid Events UG vom 25.05.2026 (Beschränkung auf Logistik)</w:t>
      </w:r>
    </w:p>
    <w:p>
      <w:pPr>
        <w:pStyle w:val="ListNumber"/>
      </w:pPr>
      <w:r>
        <w:t>OpenGrid-Rechnungen OG-2026-144 bis OG-2026-148 mit Vermerken zur Lobbying-Klassifikation</w:t>
      </w:r>
    </w:p>
    <w:p>
      <w:pPr>
        <w:pStyle w:val="ListNumber"/>
      </w:pPr>
      <w:r>
        <w:t>Argumentationspapier Einladung (OG-2026-146) – Originalfassung im Spreebogen-Drive</w:t>
      </w:r>
    </w:p>
    <w:p>
      <w:pPr>
        <w:pStyle w:val="ListNumber"/>
      </w:pPr>
      <w:r>
        <w:t>Stakeholder-Mapping OpenGrid (18_stakeholder_mapping_opengrid.csv)</w:t>
      </w:r>
    </w:p>
    <w:p>
      <w:pPr>
        <w:pStyle w:val="ListNumber"/>
      </w:pPr>
      <w:r>
        <w:t>Falsche Einladung Fassung 1 (15_event_einladung_fassung_1_falsch.md) inkl. Versandlogs</w:t>
      </w:r>
    </w:p>
    <w:p>
      <w:pPr>
        <w:pStyle w:val="ListNumber"/>
      </w:pPr>
      <w:r>
        <w:t>Korrigierte Einladung Fassung 2 (16_event_einladung_fassung_2_korrigiert.md)</w:t>
      </w:r>
    </w:p>
    <w:p>
      <w:pPr>
        <w:pStyle w:val="ListNumber"/>
      </w:pPr>
      <w:r>
        <w:t>Korrekturmail Versand 21.05.2026 (Spreebogen Drive)</w:t>
      </w:r>
    </w:p>
    <w:p>
      <w:pPr>
        <w:pStyle w:val="ListNumber"/>
      </w:pPr>
      <w:r>
        <w:t>Vorfallsregister Eintrag #2026-014</w:t>
      </w:r>
    </w:p>
    <w:p>
      <w:pPr>
        <w:pStyle w:val="Heading2"/>
      </w:pPr>
      <w:r>
        <w:rPr>
          <w:rFonts w:ascii="Times New Roman" w:hAnsi="Times New Roman"/>
        </w:rPr>
        <w:t>Anlagen zum Lobbyregister-Eintrag</w:t>
      </w:r>
    </w:p>
    <w:p>
      <w:pPr>
        <w:pStyle w:val="ListNumber"/>
      </w:pPr>
      <w:r>
        <w:t>Registerentwurf Agentur (19_registerentwurf_agentur.json)</w:t>
      </w:r>
    </w:p>
    <w:p>
      <w:pPr>
        <w:pStyle w:val="ListNumber"/>
      </w:pPr>
      <w:r>
        <w:t>Registerdiff alt/neu (20_registerdiff_alt_neu.md)</w:t>
      </w:r>
    </w:p>
    <w:p>
      <w:pPr>
        <w:pStyle w:val="ListNumber"/>
      </w:pPr>
      <w:r>
        <w:t>Kodex und Kontaktleitfaden Spreebogen (10_kodex_kontaktleitfaden.md)</w:t>
      </w:r>
    </w:p>
    <w:p>
      <w:pPr>
        <w:pStyle w:val="ListNumber"/>
      </w:pPr>
      <w:r>
        <w:t>RFS-Rückfrage an Registerstelle (11_rfs_rueckfrage_auftraggeber.md)</w:t>
      </w:r>
    </w:p>
    <w:p>
      <w:pPr>
        <w:pStyle w:val="ListNumber"/>
      </w:pPr>
      <w:r>
        <w:t>Antwort der Registerstelle (sobald vorliegend, voraussichtlich 02.06.2026)</w:t>
      </w:r>
    </w:p>
    <w:p>
      <w:pPr>
        <w:pStyle w:val="Heading2"/>
      </w:pPr>
      <w:r>
        <w:rPr>
          <w:rFonts w:ascii="Times New Roman" w:hAnsi="Times New Roman"/>
        </w:rPr>
        <w:t>Finanzen</w:t>
      </w:r>
    </w:p>
    <w:p>
      <w:pPr>
        <w:pStyle w:val="ListNumber"/>
      </w:pPr>
      <w:r>
        <w:t>Finanzdaten Q1-Q2/2026 (09_finanzdaten_agentur.csv)</w:t>
      </w:r>
    </w:p>
    <w:p>
      <w:pPr>
        <w:pStyle w:val="ListNumber"/>
      </w:pPr>
      <w:r>
        <w:t>Honorarmahnschreiben Nordsee Elektrolyse Mahnstand 1 vom 14.05.2026</w:t>
      </w:r>
    </w:p>
    <w:p>
      <w:pPr>
        <w:pStyle w:val="ListNumber"/>
      </w:pPr>
      <w:r>
        <w:t>Reisekostenbelege Berlin April/Mai 2026 (Hotel Aquino AQU-2026-0322, AQU-2026-0488)</w:t>
      </w:r>
    </w:p>
    <w:p>
      <w:pPr>
        <w:pStyle w:val="Heading2"/>
      </w:pPr>
      <w:r>
        <w:rPr>
          <w:rFonts w:ascii="Times New Roman" w:hAnsi="Times New Roman"/>
        </w:rPr>
        <w:t>Kommunikation und Compliance</w:t>
      </w:r>
    </w:p>
    <w:p>
      <w:pPr>
        <w:pStyle w:val="ListNumber"/>
      </w:pPr>
      <w:r>
        <w:t>Slack-Export #wasserstoffpaket 21.-22.05.2026 (14_interner_slack_export.txt)</w:t>
      </w:r>
    </w:p>
    <w:p>
      <w:pPr>
        <w:pStyle w:val="ListNumber"/>
      </w:pPr>
      <w:r>
        <w:t>Mandantenkorrektur HansaH2 vom 26.05.2026 (13_emailauftrag_korrektur_mandant.eml)</w:t>
      </w:r>
    </w:p>
    <w:p>
      <w:pPr>
        <w:pStyle w:val="ListNumber"/>
      </w:pPr>
      <w:r>
        <w:t>Compliance-Schulungsplan 31.05.2026 mit Teilnehmenden-Liste</w:t>
      </w:r>
    </w:p>
    <w:p>
      <w:pPr>
        <w:pStyle w:val="Heading2"/>
      </w:pPr>
      <w:r>
        <w:rPr>
          <w:rFonts w:ascii="Times New Roman" w:hAnsi="Times New Roman"/>
        </w:rPr>
        <w:t>Frist- und Prüfakte</w:t>
      </w:r>
    </w:p>
    <w:p>
      <w:pPr>
        <w:pStyle w:val="ListNumber"/>
      </w:pPr>
      <w:r>
        <w:t>Quartalskalender Q2-Q3 2026 (21_quartalskalender.ics)</w:t>
      </w:r>
    </w:p>
    <w:p>
      <w:pPr>
        <w:pStyle w:val="ListNumber"/>
      </w:pPr>
      <w:r>
        <w:t>Finalcheck 26.05.2026 (12_finalcheck.md)</w:t>
      </w:r>
    </w:p>
    <w:p>
      <w:pPr>
        <w:pStyle w:val="ListNumber"/>
      </w:pPr>
      <w:r>
        <w:t>Red-Team-Notiz (23_finalcheck_redteam.md)</w:t>
      </w:r>
    </w:p>
    <w:p>
      <w:pPr>
        <w:pStyle w:val="Heading2"/>
      </w:pPr>
      <w:r>
        <w:rPr>
          <w:rFonts w:ascii="Times New Roman" w:hAnsi="Times New Roman"/>
        </w:rPr>
        <w:t>API-Monitoringakte</w:t>
      </w:r>
    </w:p>
    <w:p>
      <w:pPr>
        <w:pStyle w:val="ListNumber"/>
      </w:pPr>
      <w:r>
        <w:t>API-Monitoringplan H2 (24_api_monitoringplan_h2.md)</w:t>
      </w:r>
    </w:p>
    <w:p>
      <w:pPr>
        <w:pStyle w:val="ListNumber"/>
      </w:pPr>
      <w:r>
        <w:t>API-Mock-Search HansaH2/Spreebogen (25_api_mock_search_hansah2_spreebogen.json)</w:t>
      </w:r>
    </w:p>
    <w:p>
      <w:pPr>
        <w:pStyle w:val="ListNumber"/>
      </w:pPr>
      <w:r>
        <w:t>Registerexport-Diff Quartalsupload (26_registerexport_diff_quartalsupload.md)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Mandatsvertrag HansaH2 Storage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Mandatsvertrag HansaH2 Storage AG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einschliesslich Anlage 2 (Eintragstextentwurf)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