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Red-Team-Notiz – Spreebogen Regulatory GmbH / WBG-Mandate</w:t>
      </w:r>
    </w:p>
    <w:p>
      <w:pPr>
        <w:jc w:val="left"/>
      </w:pPr>
      <w:r>
        <w:rPr>
          <w:b/>
        </w:rPr>
        <w:t>Stand:</w:t>
      </w:r>
      <w:r>
        <w:t xml:space="preserve"> 26.05.2026, 20:00 Uhr (nach internem Anwaltsmeeting)</w:t>
      </w:r>
    </w:p>
    <w:p>
      <w:pPr>
        <w:jc w:val="left"/>
      </w:pPr>
      <w:r>
        <w:rPr>
          <w:b/>
        </w:rPr>
        <w:t>Verfasser:</w:t>
      </w:r>
      <w:r>
        <w:t xml:space="preserve"> Frederik Holst (Compliance), abgestimmt mit Dr. Annegret Beimer (RAin)</w:t>
      </w:r>
    </w:p>
    <w:p>
      <w:pPr>
        <w:jc w:val="left"/>
      </w:pPr>
      <w:r>
        <w:rPr>
          <w:b/>
        </w:rPr>
        <w:t>Lesekreis:</w:t>
      </w:r>
      <w:r>
        <w:t xml:space="preserve"> Mara Wendt, Lea Sommer</w:t>
      </w:r>
    </w:p>
    <w:p>
      <w:pPr>
        <w:jc w:val="left"/>
      </w:pPr>
      <w:r>
        <w:t>Die Akte sieht formal gut aus, hat aber sechs Schwachstellen, die das Plugin bei strenger Pruefung markieren sollte.</w:t>
      </w:r>
    </w:p>
    <w:p>
      <w:pPr>
        <w:pStyle w:val="Heading2"/>
      </w:pPr>
      <w:r>
        <w:rPr>
          <w:rFonts w:ascii="Times New Roman" w:hAnsi="Times New Roman"/>
        </w:rPr>
        <w:t>1. OpenGrid hat nicht nur Logistik gemacht</w:t>
      </w:r>
    </w:p>
    <w:p>
      <w:pPr>
        <w:jc w:val="left"/>
      </w:pPr>
      <w:r>
        <w:t>Mindestens Stakeholder-Mapping und Einladungstext sind inhaltlich. Die Vertragsergänzung vom 25.05.2026 heilt für die Zukunft; sie ändert die Vergangenheit nicht. Das Plugin sollte erkennen, dass OpenGrid retrospektiv mit Lobbyinginhalt befasst war und der Register-Eintrag das transparent ausweist, nicht versteckt.</w:t>
      </w:r>
    </w:p>
    <w:p>
      <w:pPr>
        <w:pStyle w:val="Heading2"/>
      </w:pPr>
      <w:r>
        <w:rPr>
          <w:rFonts w:ascii="Times New Roman" w:hAnsi="Times New Roman"/>
        </w:rPr>
        <w:t>2. Der MdB-Reimers-Kontakt vom 12.05.2026</w:t>
      </w:r>
    </w:p>
    <w:p>
      <w:pPr>
        <w:jc w:val="left"/>
      </w:pPr>
      <w:r>
        <w:t>Der Kontakt wurde im ersten Eintrag als HansaH2-Kontakt erfasst. Tatsächlich wurden im Gespräch beide Auftraggeber erwähnt. Die Korrektur ist im Kontaktlog enthalten, aber das Plugin sollte prüfen, ob die Stellungnahme HansaH2, die zwei Tage später über Reimers' Büro versandt wurde, durch diesen unsauberen Vorkontakt "verseucht" ist. Empfehlung: keine Verseuchung, aber Doppelt-Dokumentation.</w:t>
      </w:r>
    </w:p>
    <w:p>
      <w:pPr>
        <w:pStyle w:val="Heading2"/>
      </w:pPr>
      <w:r>
        <w:rPr>
          <w:rFonts w:ascii="Times New Roman" w:hAnsi="Times New Roman"/>
        </w:rPr>
        <w:t>3. Die alte Einladung "deutsche Wasserstoffindustrie" ist sachlich falsch</w:t>
      </w:r>
    </w:p>
    <w:p>
      <w:pPr>
        <w:jc w:val="left"/>
      </w:pPr>
      <w:r>
        <w:t>Sie ist nicht heimlich versandt, sondern an 14 Empfänger. Die Korrektur erreicht alle 14 noch am selben Tag. Die Frage ist, ob Christine Luehrs den Vorfall als grenzwertige Vertragsverletzung (so wie sie es im Schreiben vom 26.05.2026 nennt) oder als echte Vertragsverletzung interpretiert. Bei einer Wiederholung wäre das vertragsbeendend.</w:t>
      </w:r>
    </w:p>
    <w:p>
      <w:pPr>
        <w:pStyle w:val="Heading2"/>
      </w:pPr>
      <w:r>
        <w:rPr>
          <w:rFonts w:ascii="Times New Roman" w:hAnsi="Times New Roman"/>
        </w:rPr>
        <w:t>4. Doppelrolle Tarek Abadi</w:t>
      </w:r>
    </w:p>
    <w:p>
      <w:pPr>
        <w:jc w:val="left"/>
      </w:pPr>
      <w:r>
        <w:t xml:space="preserve">Tarek ist Vertreter der Auftraggeberin (Nordsee Elektrolyse Konsortium GbR) </w:t>
      </w:r>
      <w:r>
        <w:rPr>
          <w:b/>
        </w:rPr>
        <w:t>und</w:t>
      </w:r>
      <w:r>
        <w:t xml:space="preserve"> Berater der Spreebogen Regulatory GmbH (vgl. Spreebogen-internes Honorar für Beratungsleistungen). Das ist eine echte Interessenkonflikt-Konstellation. Der Konsortialvertrag und die Mandatsvereinbarung Spreebogen kennen das, aber das Plugin sollte testen, ob das im Register transparent ist und ob Tarek bei Honorarfragen abgemeldet ist (vgl. Slack 22.05.2026 11:20). Das ist intern dokumentiert, im öffentlichen Eintrag aber nur indirekt sichtbar.</w:t>
      </w:r>
    </w:p>
    <w:p>
      <w:pPr>
        <w:pStyle w:val="Heading2"/>
      </w:pPr>
      <w:r>
        <w:rPr>
          <w:rFonts w:ascii="Times New Roman" w:hAnsi="Times New Roman"/>
        </w:rPr>
        <w:t>5. Der Honorarrückstand Nordsee Elektrolyse</w:t>
      </w:r>
    </w:p>
    <w:p>
      <w:pPr>
        <w:jc w:val="left"/>
      </w:pPr>
      <w:r>
        <w:t>12.500 EUR offen seit 30.04.2026. Wenn das Mandat platzt, weil die Rechnung nicht beglichen wird, ändert sich der Eintrag. Solange das Mandat besteht, ist der Eintrag korrekt. Das Plugin sollte trotzdem testen, dass Spreebogen weiss, wann das Mandat als "beendet" zu führen wäre. Empfehlung: Mahnstand 2 bei Nichtzahlung bis 15.06.2026; Eintragsaktualisierung bei vollständigem Mandatsausfall.</w:t>
      </w:r>
    </w:p>
    <w:p>
      <w:pPr>
        <w:pStyle w:val="Heading2"/>
      </w:pPr>
      <w:r>
        <w:rPr>
          <w:rFonts w:ascii="Times New Roman" w:hAnsi="Times New Roman"/>
        </w:rPr>
        <w:t>6. Die Schwellenprüfung selbst</w:t>
      </w:r>
    </w:p>
    <w:p>
      <w:pPr>
        <w:jc w:val="left"/>
      </w:pPr>
      <w:r>
        <w:t>Spreebogen war schon vor dem 01.04.2026 lobbyregisterpflichtig, weil die Agenturtätigkeit für Dritte das Kriterium "regelmaessig oder auf Dauer angelegt" zwanglos erfüllt. Die Schwellendiskussion (47 Kontakte April/Mai) ist also nicht "neu pflichtig ab Mai", sondern "auch im Q2 wieder eindeutig pflichtig". Der Eintrag besteht seit Februar 2026. Die Q2-Aktualisierung ist nicht die Erstpflicht, sondern Pflegepflicht (§ 3 LobbyRG).</w:t>
      </w:r>
    </w:p>
    <w:p>
      <w:pPr>
        <w:pStyle w:val="Heading2"/>
      </w:pPr>
      <w:r>
        <w:rPr>
          <w:rFonts w:ascii="Times New Roman" w:hAnsi="Times New Roman"/>
        </w:rPr>
        <w:t>Empfehlung</w:t>
      </w:r>
    </w:p>
    <w:p>
      <w:pPr>
        <w:jc w:val="left"/>
      </w:pPr>
      <w:r>
        <w:t>Registereintrag erst aktualisieren, wenn:</w:t>
      </w:r>
    </w:p>
    <w:p>
      <w:pPr>
        <w:pStyle w:val="ListBullet"/>
      </w:pPr>
      <w:r>
        <w:t>Unterauftragsklassifikation OpenGrid final ist (Variante 1 + 2 umgesetzt),</w:t>
      </w:r>
    </w:p>
    <w:p>
      <w:pPr>
        <w:pStyle w:val="ListBullet"/>
      </w:pPr>
      <w:r>
        <w:t>Auftraggebertext mit Christine Luehrs schriftlich nachgewiesen abgenommen ist,</w:t>
      </w:r>
    </w:p>
    <w:p>
      <w:pPr>
        <w:pStyle w:val="ListBullet"/>
      </w:pPr>
      <w:r>
        <w:t>gemischter Kontakt vom 12.05.2026 in der Q2-Aufstellung enthalten ist,</w:t>
      </w:r>
    </w:p>
    <w:p>
      <w:pPr>
        <w:pStyle w:val="ListBullet"/>
      </w:pPr>
      <w:r>
        <w:t>Doppelrolle Tarek Abadi entweder erkennbar offengelegt oder durch Trennung der Aufgaben unschädlich gemacht ist,</w:t>
      </w:r>
    </w:p>
    <w:p>
      <w:pPr>
        <w:pStyle w:val="ListBullet"/>
      </w:pPr>
      <w:r>
        <w:t>die Stellungnahmen jeweils mandantenspezifisch eingetragen sind.</w:t>
      </w:r>
    </w:p>
    <w:p>
      <w:pPr>
        <w:jc w:val="left"/>
      </w:pPr>
      <w:r>
        <w:t>Diese Punkte sind bis 30.05.2026 (Einspielung) abzuarbeiten.</w:t>
      </w:r>
    </w:p>
    <w:p>
      <w:pPr>
        <w:pStyle w:val="Heading2"/>
      </w:pPr>
      <w:r>
        <w:rPr>
          <w:rFonts w:ascii="Times New Roman" w:hAnsi="Times New Roman"/>
        </w:rPr>
        <w:t>Was das Plugin sehen sollte</w:t>
      </w:r>
    </w:p>
    <w:p>
      <w:pPr>
        <w:pStyle w:val="ListBullet"/>
      </w:pPr>
      <w:r>
        <w:t xml:space="preserve">Pflichtigkeit ist evident, aber das ist nicht die spannende Frage. Die spannende Frage ist, </w:t>
      </w:r>
      <w:r>
        <w:rPr>
          <w:b/>
        </w:rPr>
        <w:t>wie sauber</w:t>
      </w:r>
      <w:r>
        <w:t xml:space="preserve"> das Mandat dargestellt wird.</w:t>
      </w:r>
    </w:p>
    <w:p>
      <w:pPr>
        <w:pStyle w:val="ListBullet"/>
      </w:pPr>
      <w:r>
        <w:t>Auftraggebertrennung ist die zentrale Pruefung. Wer beide Auftraggeber als "Wasserstoffbranche" kombiniert, hat die Mandate nicht verstanden.</w:t>
      </w:r>
    </w:p>
    <w:p>
      <w:pPr>
        <w:pStyle w:val="ListBullet"/>
      </w:pPr>
      <w:r>
        <w:t>Die OpenGrid-Klassifikation ist eine echte LobbyRG-Frage (§ 1 Abs. 5).</w:t>
      </w:r>
    </w:p>
    <w:p>
      <w:pPr>
        <w:pStyle w:val="ListBullet"/>
      </w:pPr>
      <w:r>
        <w:t>Die Stellungnahmen sind grundlegend und gehören in den Q2-Upload.</w:t>
      </w:r>
    </w:p>
    <w:p>
      <w:pPr>
        <w:pStyle w:val="ListBullet"/>
      </w:pPr>
      <w:r>
        <w:t xml:space="preserve">Eine reine Korrektheit reicht nicht; es braucht eine </w:t>
      </w:r>
      <w:r>
        <w:rPr>
          <w:b/>
        </w:rPr>
        <w:t>konsistente</w:t>
      </w:r>
      <w:r>
        <w:t xml:space="preserve"> Darstellung im Eintrag, in der Einladung, in den Stellungnahmen und in der Pressekommunikation.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Spreebogen Regulatory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Spreebogen Regulatory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