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Termin-Briefing BMWK Staatssekretariat 30.05.2026</w:t>
      </w:r>
    </w:p>
    <w:p>
      <w:pPr>
        <w:jc w:val="left"/>
      </w:pPr>
      <w:r>
        <w:rPr>
          <w:b/>
        </w:rPr>
        <w:t>Termin:</w:t>
      </w:r>
      <w:r>
        <w:t xml:space="preserve"> Mittwoch, 30.05.2026, 11:00 bis 11:45 Uhr</w:t>
      </w:r>
    </w:p>
    <w:p>
      <w:pPr>
        <w:jc w:val="left"/>
      </w:pPr>
      <w:r>
        <w:rPr>
          <w:b/>
        </w:rPr>
        <w:t>Ort:</w:t>
      </w:r>
      <w:r>
        <w:t xml:space="preserve"> BMWK, Scharnhorststr. 34-37, 10115 Berlin, Raum 2.142</w:t>
      </w:r>
    </w:p>
    <w:p>
      <w:pPr>
        <w:jc w:val="left"/>
      </w:pPr>
      <w:r>
        <w:rPr>
          <w:b/>
        </w:rPr>
        <w:t>Begleitung Spreebogen:</w:t>
      </w:r>
      <w:r>
        <w:t xml:space="preserve"> Lea Sommer (Leitung), Frederik Holst (Compliance)</w:t>
      </w:r>
    </w:p>
    <w:p>
      <w:pPr>
        <w:jc w:val="left"/>
      </w:pPr>
      <w:r>
        <w:rPr>
          <w:b/>
        </w:rPr>
        <w:t>Begleitung Mandanten:</w:t>
      </w:r>
      <w:r>
        <w:t xml:space="preserve"> Christine Luehrs (HansaH2 Storage AG) und Tarek Abadi (Nordsee Elektrolyse Konsortium GbR)</w:t>
      </w:r>
    </w:p>
    <w:p>
      <w:pPr>
        <w:jc w:val="left"/>
      </w:pPr>
      <w:r>
        <w:rPr>
          <w:b/>
        </w:rPr>
        <w:t>Bundesseite:</w:t>
      </w:r>
      <w:r>
        <w:t xml:space="preserve"> Frau Stein (Leiterin Büro Staatssekretariat), Frau Dr. Kettner (Referatsleitung III B 2 Wasserstoff)</w:t>
      </w:r>
    </w:p>
    <w:p>
      <w:pPr>
        <w:jc w:val="left"/>
      </w:pPr>
      <w:r>
        <w:rPr>
          <w:b/>
        </w:rPr>
        <w:t>Anlass:</w:t>
      </w:r>
      <w:r>
        <w:t xml:space="preserve"> Vorgespräch zum Referentenentwurf Wasserstoffbeschleunigungsgesetz (WBG)</w:t>
      </w:r>
    </w:p>
    <w:p>
      <w:pPr>
        <w:pStyle w:val="Heading2"/>
      </w:pPr>
      <w:r>
        <w:rPr>
          <w:rFonts w:ascii="Times New Roman" w:hAnsi="Times New Roman"/>
        </w:rPr>
        <w:t>1. Briefingziel</w:t>
      </w:r>
    </w:p>
    <w:p>
      <w:pPr>
        <w:jc w:val="left"/>
      </w:pPr>
      <w:r>
        <w:t>Beide Auftraggeber sollen ihre Anliegen direkt vor dem Staatssekretariat platzieren, ohne dass eine Vermischung der Mandate entsteht. Spreebogen moderiert; Christine Luehrs spricht Speicher, Tarek Abadi spricht Elektrolyse. Wir vermeiden den Eindruck, gemeinsam für eine "deutsche Wasserstoffindustrie" zu sprechen.</w:t>
      </w:r>
    </w:p>
    <w:p>
      <w:pPr>
        <w:pStyle w:val="Heading2"/>
      </w:pPr>
      <w:r>
        <w:rPr>
          <w:rFonts w:ascii="Times New Roman" w:hAnsi="Times New Roman"/>
        </w:rPr>
        <w:t>2. Offenlegungssaetze</w:t>
      </w:r>
    </w:p>
    <w:p>
      <w:pPr>
        <w:jc w:val="left"/>
      </w:pPr>
      <w:r>
        <w:t>Vor Beginn (durch Lea Sommer):</w:t>
      </w:r>
    </w:p>
    <w:p>
      <w:pPr>
        <w:ind w:left="567"/>
      </w:pPr>
      <w:r>
        <w:rPr>
          <w:i/>
        </w:rPr>
        <w:t>"Wir sind heute für die Spreebogen Regulatory GmbH hier, im Auftrag der HansaH2 Storage AG und im Auftrag der Nordsee Elektrolyse Konsortium GbR. Beide Auftraggeber verfolgen unterschiedliche Aspekte des Wasserstoffbeschleunigungsgesetzes; Speicherprivilegierung und Netzentgeltprivileg für Elektrolyseure. Wir tragen nacheinander vor und beantworten Ihre Rückfragen getrennt nach Mandant. Unsere Einträge im Lobbyregister sind aktuell."</w:t>
      </w:r>
    </w:p>
    <w:p>
      <w:pPr>
        <w:pStyle w:val="Heading2"/>
      </w:pPr>
      <w:r>
        <w:rPr>
          <w:rFonts w:ascii="Times New Roman" w:hAnsi="Times New Roman"/>
        </w:rPr>
        <w:t>3. Inhaltliche Talking Points</w:t>
      </w:r>
    </w:p>
    <w:p>
      <w:pPr>
        <w:pStyle w:val="Heading3"/>
      </w:pPr>
      <w:r>
        <w:rPr>
          <w:rFonts w:ascii="Times New Roman" w:hAnsi="Times New Roman"/>
        </w:rPr>
        <w:t>Block A – HansaH2 Storage AG (Christine Luehrs, 8 Minuten)</w:t>
      </w:r>
    </w:p>
    <w:p>
      <w:pPr>
        <w:pStyle w:val="ListNumber"/>
      </w:pPr>
      <w:r>
        <w:t>Speicherprivilegierung im EnWG analog § 11b: warum jetzt erforderlich.</w:t>
      </w:r>
    </w:p>
    <w:p>
      <w:pPr>
        <w:pStyle w:val="ListNumber"/>
      </w:pPr>
      <w:r>
        <w:t>Genehmigungsfrist von 12 Monaten ab vollständiger Antragsunterlage; konkrete Engpässe in Bezirksregierungen.</w:t>
      </w:r>
    </w:p>
    <w:p>
      <w:pPr>
        <w:pStyle w:val="ListNumber"/>
      </w:pPr>
      <w:r>
        <w:t>Duldungspflichten analog § 44 EnWG für Wasserstoffleitungen.</w:t>
      </w:r>
    </w:p>
    <w:p>
      <w:pPr>
        <w:pStyle w:val="ListNumber"/>
      </w:pPr>
      <w:r>
        <w:t>Übergangsregelung: bestehende Genehmigungsanträge bis 31.12.2026 unter bisherigem Recht.</w:t>
      </w:r>
    </w:p>
    <w:p>
      <w:pPr>
        <w:pStyle w:val="Heading3"/>
      </w:pPr>
      <w:r>
        <w:rPr>
          <w:rFonts w:ascii="Times New Roman" w:hAnsi="Times New Roman"/>
        </w:rPr>
        <w:t>Block B – Nordsee Elektrolyse Konsortium GbR (Tarek Abadi, 8 Minuten)</w:t>
      </w:r>
    </w:p>
    <w:p>
      <w:pPr>
        <w:pStyle w:val="ListNumber"/>
      </w:pPr>
      <w:r>
        <w:t>Netzentgeltprivileg für Elektrolyseure mit Volllaststundenrahmen; Verzicht auf Mengenkomponente bei System-dienlichem Betrieb.</w:t>
      </w:r>
    </w:p>
    <w:p>
      <w:pPr>
        <w:pStyle w:val="ListNumber"/>
      </w:pPr>
      <w:r>
        <w:t>Flächenzugang an Offshore-Anbindungspunkten; konkrete Probleme in Stade, Heide und Brunsbuettel.</w:t>
      </w:r>
    </w:p>
    <w:p>
      <w:pPr>
        <w:pStyle w:val="ListNumber"/>
      </w:pPr>
      <w:r>
        <w:t>Pilotprojekte ohne uneinheitliche Länderpraxis: BMWK-Klarstellung gewünscht.</w:t>
      </w:r>
    </w:p>
    <w:p>
      <w:pPr>
        <w:pStyle w:val="ListNumber"/>
      </w:pPr>
      <w:r>
        <w:t>Technologieoffene Förderung statt einer Lock-in-Förderung für eine spezifische Elektrolysetechnologie.</w:t>
      </w:r>
    </w:p>
    <w:p>
      <w:pPr>
        <w:pStyle w:val="Heading3"/>
      </w:pPr>
      <w:r>
        <w:rPr>
          <w:rFonts w:ascii="Times New Roman" w:hAnsi="Times New Roman"/>
        </w:rPr>
        <w:t>Block C – Moderation und Diskussion (Lea Sommer, ca. 15 Minuten)</w:t>
      </w:r>
    </w:p>
    <w:p>
      <w:pPr>
        <w:pStyle w:val="ListBullet"/>
      </w:pPr>
      <w:r>
        <w:t>Klarstellung, dass beide Anliegen sich nicht ausschliessen, sondern parallel umsetzbar sind.</w:t>
      </w:r>
    </w:p>
    <w:p>
      <w:pPr>
        <w:pStyle w:val="ListBullet"/>
      </w:pPr>
      <w:r>
        <w:t>Wo HansaH2 und Konsortium unterschiedliche Forderungen haben, wird der Unterschied benannt, nicht harmonisiert.</w:t>
      </w:r>
    </w:p>
    <w:p>
      <w:pPr>
        <w:pStyle w:val="ListBullet"/>
      </w:pPr>
      <w:r>
        <w:t>Vermeidung der "Branchenrepräsentation"-Falle.</w:t>
      </w:r>
    </w:p>
    <w:p>
      <w:pPr>
        <w:pStyle w:val="Heading2"/>
      </w:pPr>
      <w:r>
        <w:rPr>
          <w:rFonts w:ascii="Times New Roman" w:hAnsi="Times New Roman"/>
        </w:rPr>
        <w:t>4. Was wir nicht ansprechen</w:t>
      </w:r>
    </w:p>
    <w:p>
      <w:pPr>
        <w:pStyle w:val="ListBullet"/>
      </w:pPr>
      <w:r>
        <w:t>Konkrete Investitionsvolumina der Auftraggeber (Vertraulichkeit).</w:t>
      </w:r>
    </w:p>
    <w:p>
      <w:pPr>
        <w:pStyle w:val="ListBullet"/>
      </w:pPr>
      <w:r>
        <w:t>Honorarstand des Konsortiums (Vertraulichkeit + interne Frage).</w:t>
      </w:r>
    </w:p>
    <w:p>
      <w:pPr>
        <w:pStyle w:val="ListBullet"/>
      </w:pPr>
      <w:r>
        <w:t>OpenGrid-Vorfall (irrelevant für Sachthema).</w:t>
      </w:r>
    </w:p>
    <w:p>
      <w:pPr>
        <w:pStyle w:val="ListBullet"/>
      </w:pPr>
      <w:r>
        <w:t>Andere Branchenakteure und deren Anliegen (nicht im Mandat).</w:t>
      </w:r>
    </w:p>
    <w:p>
      <w:pPr>
        <w:pStyle w:val="Heading2"/>
      </w:pPr>
      <w:r>
        <w:rPr>
          <w:rFonts w:ascii="Times New Roman" w:hAnsi="Times New Roman"/>
        </w:rPr>
        <w:t>5. Worauf wir uns vorbereiten müssen</w:t>
      </w:r>
    </w:p>
    <w:p>
      <w:pPr>
        <w:pStyle w:val="ListBullet"/>
      </w:pPr>
      <w:r>
        <w:t>Frage des Staatssekretariats nach Konsens mit Verbänden: Antwort offen halten; keine Verbandsfreigabe behauptet.</w:t>
      </w:r>
    </w:p>
    <w:p>
      <w:pPr>
        <w:pStyle w:val="ListBullet"/>
      </w:pPr>
      <w:r>
        <w:t>Frage nach Förderprogramm-Kombination: Konsortium-Antwort, HansaH2 nicht inhaltlich beteiligt.</w:t>
      </w:r>
    </w:p>
    <w:p>
      <w:pPr>
        <w:pStyle w:val="ListBullet"/>
      </w:pPr>
      <w:r>
        <w:t>Frage nach Eintrag im Lobbyregister: vorbereitete Antwort, dass der Eintrag aktualisiert und korrigiert ist (Stand 30.05.2026).</w:t>
      </w:r>
    </w:p>
    <w:p>
      <w:pPr>
        <w:pStyle w:val="ListBullet"/>
      </w:pPr>
      <w:r>
        <w:t>Frage nach OpenGrid: falls direkt angesprochen, ehrliche Antwort, dass die Logistik-Agentur in einer Einladung eine Branchenformulierung gewählt hat, die wir umgehend korrigiert haben.</w:t>
      </w:r>
    </w:p>
    <w:p>
      <w:pPr>
        <w:pStyle w:val="Heading2"/>
      </w:pPr>
      <w:r>
        <w:rPr>
          <w:rFonts w:ascii="Times New Roman" w:hAnsi="Times New Roman"/>
        </w:rPr>
        <w:t>6. Nach dem Termin</w:t>
      </w:r>
    </w:p>
    <w:p>
      <w:pPr>
        <w:pStyle w:val="ListBullet"/>
      </w:pPr>
      <w:r>
        <w:t>Kontaktlogeintrag für 30.05.2026 binnen 24 Stunden in 04_kontaktlog_berlin.csv.</w:t>
      </w:r>
    </w:p>
    <w:p>
      <w:pPr>
        <w:pStyle w:val="ListBullet"/>
      </w:pPr>
      <w:r>
        <w:t>Auftraggebernotiz an Christine Luehrs (HansaH2) und Tarek Abadi (Konsortium) je separat.</w:t>
      </w:r>
    </w:p>
    <w:p>
      <w:pPr>
        <w:pStyle w:val="ListBullet"/>
      </w:pPr>
      <w:r>
        <w:t>Falls neue Informationen oder Eindrücke entstehen, die für den Q2-Upload relevant sind, in 08_quartalsupload_log.md ergänzen.</w:t>
      </w:r>
    </w:p>
    <w:p>
      <w:pPr>
        <w:pStyle w:val="Heading2"/>
      </w:pPr>
      <w:r>
        <w:rPr>
          <w:rFonts w:ascii="Times New Roman" w:hAnsi="Times New Roman"/>
        </w:rPr>
        <w:t>7. Logistik</w:t>
      </w:r>
    </w:p>
    <w:p>
      <w:pPr>
        <w:pStyle w:val="ListBullet"/>
      </w:pPr>
      <w:r>
        <w:t>Treffen 10:30 Uhr im Foyer BMWK, Sicherheitskontrolle einplanen.</w:t>
      </w:r>
    </w:p>
    <w:p>
      <w:pPr>
        <w:pStyle w:val="ListBullet"/>
      </w:pPr>
      <w:r>
        <w:t>Visitenkarten Spreebogen, HansaH2 und Konsortium mitnehmen.</w:t>
      </w:r>
    </w:p>
    <w:p>
      <w:pPr>
        <w:pStyle w:val="ListBullet"/>
      </w:pPr>
      <w:r>
        <w:t>Talking-Points-Karte (DIN A4, gedruckt) bereithalten; sie wird der Bundesseite NICHT ausgehändigt (keine fakultative Stellungnahme).</w:t>
      </w:r>
    </w:p>
    <w:p>
      <w:pPr>
        <w:pStyle w:val="ListBullet"/>
      </w:pPr>
      <w:r>
        <w:t>Nach dem Termin gemeinsame Nachbesprechung im Spreebogen-Büro, 12:30 Uhr.</w:t>
      </w:r>
    </w:p>
    <w:p>
      <w:pPr>
        <w:pStyle w:val="Heading2"/>
      </w:pPr>
      <w:r>
        <w:rPr>
          <w:rFonts w:ascii="Times New Roman" w:hAnsi="Times New Roman"/>
        </w:rPr>
        <w:t>8. Risiken</w:t>
      </w:r>
    </w:p>
    <w:p>
      <w:pPr>
        <w:pStyle w:val="ListBullet"/>
      </w:pPr>
      <w:r>
        <w:t>Wenn Christine Luehrs oder Tarek Abadi die jeweils andere Position relativiert (z.B. "und das ist auch für Elektrolyse wichtig"), entsteht der unbeabsichtigte Eindruck einer Branchenrepräsentation. Lea steuert dagegen.</w:t>
      </w:r>
    </w:p>
    <w:p>
      <w:pPr>
        <w:pStyle w:val="ListBullet"/>
      </w:pPr>
      <w:r>
        <w:t>Wenn die Bundesseite den Termin als "Branchengespräch" einleitet, korrigieren wir höflich im Eingangsstatement.</w:t>
      </w:r>
    </w:p>
    <w:p>
      <w:pPr>
        <w:pStyle w:val="ListBullet"/>
      </w:pPr>
      <w:r>
        <w:t>Wenn ein Mandant aus persönlichen Gründen nicht erscheinen kann, wird der Termin nicht durchgeführt; ein Briefing per E-Mail folgt.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HansaH2 Storage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HansaH2 Storage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