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Compliance-Memo: Doppelmandat im selben Regelungsvorhaben</w:t>
      </w:r>
    </w:p>
    <w:p>
      <w:pPr>
        <w:jc w:val="left"/>
      </w:pPr>
      <w:r>
        <w:rPr>
          <w:b/>
        </w:rPr>
        <w:t>Verfasser:</w:t>
      </w:r>
      <w:r>
        <w:t xml:space="preserve"> Frederik Holst, Compliance Officer Spreebogen Regulatory GmbH</w:t>
      </w:r>
    </w:p>
    <w:p>
      <w:pPr>
        <w:jc w:val="left"/>
      </w:pPr>
      <w:r>
        <w:rPr>
          <w:b/>
        </w:rPr>
        <w:t>Rechtliche Begleitung:</w:t>
      </w:r>
      <w:r>
        <w:t xml:space="preserve"> Dr. Annegret Beimer, Stern &amp; Partner mbB Rechtsanwälte</w:t>
      </w:r>
    </w:p>
    <w:p>
      <w:pPr>
        <w:jc w:val="left"/>
      </w:pPr>
      <w:r>
        <w:rPr>
          <w:b/>
        </w:rPr>
        <w:t>Stand:</w:t>
      </w:r>
      <w:r>
        <w:t xml:space="preserve"> 26.05.2026</w:t>
      </w:r>
    </w:p>
    <w:p>
      <w:pPr>
        <w:jc w:val="left"/>
      </w:pPr>
      <w:r>
        <w:rPr>
          <w:b/>
        </w:rPr>
        <w:t>Adressat:</w:t>
      </w:r>
      <w:r>
        <w:t xml:space="preserve"> Geschäftsführung Spreebogen Regulatory GmbH (Mara Wendt, Lea Sommer); Auftraggebervertretungen HansaH2 und Nordsee Elektrolyse (zur Kenntnis)</w:t>
      </w:r>
    </w:p>
    <w:p>
      <w:pPr>
        <w:jc w:val="left"/>
      </w:pPr>
      <w:r>
        <w:rPr>
          <w:b/>
        </w:rPr>
        <w:t>Aktenzeichen:</w:t>
      </w:r>
      <w:r>
        <w:t xml:space="preserve"> SBR-COMP-2026-03</w:t>
      </w:r>
    </w:p>
    <w:p>
      <w:pPr>
        <w:pStyle w:val="Heading2"/>
      </w:pPr>
      <w:r>
        <w:rPr>
          <w:rFonts w:ascii="Times New Roman" w:hAnsi="Times New Roman"/>
        </w:rPr>
        <w:t>1. Anlass</w:t>
      </w:r>
    </w:p>
    <w:p>
      <w:pPr>
        <w:jc w:val="left"/>
      </w:pPr>
      <w:r>
        <w:t>Die Spreebogen Regulatory GmbH betreut parallel zwei Auftraggeber zum gleichen Regelungsvorhaben (Wasserstoffbeschleunigungsgesetz, WBG):</w:t>
      </w:r>
    </w:p>
    <w:p>
      <w:pPr>
        <w:pStyle w:val="ListBullet"/>
      </w:pPr>
      <w:r>
        <w:t>HansaH2 Storage AG (Mandatsvertrag seit 01.02.2026)</w:t>
      </w:r>
    </w:p>
    <w:p>
      <w:pPr>
        <w:pStyle w:val="ListBullet"/>
      </w:pPr>
      <w:r>
        <w:t>Nordsee Elektrolyse Konsortium GbR (Mandatsvertrag seit 15.03.2026)</w:t>
      </w:r>
    </w:p>
    <w:p>
      <w:pPr>
        <w:jc w:val="left"/>
      </w:pPr>
      <w:r>
        <w:t>Beide Auftraggeber kennen das Parallelmandat und haben es vertraglich akzeptiert. Die jeweiligen Interessen sind nicht identisch, aber thematisch verwandt. In den vergangenen acht Wochen kam es zu mehreren Konstellationen, die compliance-relevant sind.</w:t>
      </w:r>
    </w:p>
    <w:p>
      <w:pPr>
        <w:pStyle w:val="Heading2"/>
      </w:pPr>
      <w:r>
        <w:rPr>
          <w:rFonts w:ascii="Times New Roman" w:hAnsi="Times New Roman"/>
        </w:rPr>
        <w:t>2. Rechtliche Rahmung</w:t>
      </w:r>
    </w:p>
    <w:p>
      <w:pPr>
        <w:jc w:val="left"/>
      </w:pPr>
      <w:r>
        <w:rPr>
          <w:b/>
        </w:rPr>
        <w:t>Lobbyregistergesetz:</w:t>
      </w:r>
    </w:p>
    <w:p>
      <w:pPr>
        <w:pStyle w:val="ListBullet"/>
      </w:pPr>
      <w:r>
        <w:t>§ 1 Abs. 1 LobbyRG: Spreebogen ist Beauftragte für Interessenvertretung Dritter.</w:t>
      </w:r>
    </w:p>
    <w:p>
      <w:pPr>
        <w:pStyle w:val="ListBullet"/>
      </w:pPr>
      <w:r>
        <w:t>§ 1 Abs. 4 LobbyRG: Beide Mandanten sind Auftraggeber im Sinne des Gesetzes; je gesonderter Eintrag im Auftraggeberfeld.</w:t>
      </w:r>
    </w:p>
    <w:p>
      <w:pPr>
        <w:pStyle w:val="ListBullet"/>
      </w:pPr>
      <w:r>
        <w:t>§ 1 Abs. 5 LobbyRG: OpenGrid Events UG ist Unterauftragnehmer.</w:t>
      </w:r>
    </w:p>
    <w:p>
      <w:pPr>
        <w:pStyle w:val="ListBullet"/>
      </w:pPr>
      <w:r>
        <w:t>§ 3 LobbyRG: Aktualisierungspflicht innerhalb von drei Monaten, jährliche Bestätigung, Q2-Upload.</w:t>
      </w:r>
    </w:p>
    <w:p>
      <w:pPr>
        <w:pStyle w:val="ListBullet"/>
      </w:pPr>
      <w:r>
        <w:t>§ 5 LobbyRG: Grundlegende Stellungnahmen sind hochzuladen; je Mandant getrennt.</w:t>
      </w:r>
    </w:p>
    <w:p>
      <w:pPr>
        <w:pStyle w:val="ListBullet"/>
      </w:pPr>
      <w:r>
        <w:t>Anlage 2 LobbyRG (Verhaltenskodex): Offenlegung des vertretenen Interesses.</w:t>
      </w:r>
    </w:p>
    <w:p>
      <w:pPr>
        <w:jc w:val="left"/>
      </w:pPr>
      <w:r>
        <w:rPr>
          <w:b/>
        </w:rPr>
        <w:t>Berufsrechtliche und vertragliche Rahmung:</w:t>
      </w:r>
    </w:p>
    <w:p>
      <w:pPr>
        <w:pStyle w:val="ListBullet"/>
      </w:pPr>
      <w:r>
        <w:t>§ 5 Mandatsvertrag HansaH2: keine Branchenrepräsentation.</w:t>
      </w:r>
    </w:p>
    <w:p>
      <w:pPr>
        <w:pStyle w:val="ListBullet"/>
      </w:pPr>
      <w:r>
        <w:t>§ 5 Mandatsvertrag Nordsee Elektrolyse: keine Vermischung mit HansaH2-Anliegen.</w:t>
      </w:r>
    </w:p>
    <w:p>
      <w:pPr>
        <w:pStyle w:val="ListBullet"/>
      </w:pPr>
      <w:r>
        <w:t>Konsortialvereinbarung Nordsee Elektrolyse: Einstimmigkeit für Aussenkommunikation.</w:t>
      </w:r>
    </w:p>
    <w:p>
      <w:pPr>
        <w:pStyle w:val="Heading2"/>
      </w:pPr>
      <w:r>
        <w:rPr>
          <w:rFonts w:ascii="Times New Roman" w:hAnsi="Times New Roman"/>
        </w:rPr>
        <w:t>3. Konfliktanalyse</w:t>
      </w:r>
    </w:p>
    <w:p>
      <w:pPr>
        <w:pStyle w:val="Heading3"/>
      </w:pPr>
      <w:r>
        <w:rPr>
          <w:rFonts w:ascii="Times New Roman" w:hAnsi="Times New Roman"/>
        </w:rPr>
        <w:t>3.1 Gemischter Kontakt am 12.05.2026 (MdB Reimers)</w:t>
      </w:r>
    </w:p>
    <w:p>
      <w:pPr>
        <w:jc w:val="left"/>
      </w:pPr>
      <w:r>
        <w:t>Sachverhalt: Nils Tietjen rief MdB Reimers an. Im Kontaktlog stand zunächst nur HansaH2. Im Gespräch wurden beide Auftraggeber erwähnt, aber Hauptanliegen war Speicher. Korrektur erfolgte nach Slack-Diskussion am 21.05.2026.</w:t>
      </w:r>
    </w:p>
    <w:p>
      <w:pPr>
        <w:jc w:val="left"/>
      </w:pPr>
      <w:r>
        <w:t>Bewertung: § 5 beider Mandatsvertraege wurde nicht eingehalten, weil eine Vermischung im Gespräch stattfand. Eine Korrektur im Kontaktlog ist gut, heilt das Verhalten nicht.</w:t>
      </w:r>
    </w:p>
    <w:p>
      <w:pPr>
        <w:jc w:val="left"/>
      </w:pPr>
      <w:r>
        <w:t>Massnahme: Schulung 31.05.2026; ausdrückliche Klarstellung, dass jeder Anruf nur einem Mandat zugeordnet ist; im Zweifel zwei Anrufe.</w:t>
      </w:r>
    </w:p>
    <w:p>
      <w:pPr>
        <w:pStyle w:val="Heading3"/>
      </w:pPr>
      <w:r>
        <w:rPr>
          <w:rFonts w:ascii="Times New Roman" w:hAnsi="Times New Roman"/>
        </w:rPr>
        <w:t>3.2 OpenGrid-Branchenanmassung (21.05.2026)</w:t>
      </w:r>
    </w:p>
    <w:p>
      <w:pPr>
        <w:jc w:val="left"/>
      </w:pPr>
      <w:r>
        <w:t>Sachverhalt: OpenGrid Events UG versandte 14 Einladungen mit der Formulierung "im Namen der deutschen Wasserstoffindustrie". Spreebogen hatte die Einladung im Vorfeld nicht endkontrolliert.</w:t>
      </w:r>
    </w:p>
    <w:p>
      <w:pPr>
        <w:jc w:val="left"/>
      </w:pPr>
      <w:r>
        <w:t>Bewertung: § 5 HansaH2 verletzt (Branchenrepräsentation behauptet, obwohl Mandat nur Speicher). Konsortialvereinbarung Nordsee Elektrolyse verletzt (Einstimmigkeit fehlt). § 1 Abs. 5 LobbyRG aktiv geworden, weil OpenGrid inhaltlich mitwirkte.</w:t>
      </w:r>
    </w:p>
    <w:p>
      <w:pPr>
        <w:jc w:val="left"/>
      </w:pPr>
      <w:r>
        <w:t>Massnahme: Vertragsergänzung mit OpenGrid (25.05.2026); Eintragung der UG als Unterauftragnehmer; Compliance-Vorfall #2026-014 dokumentiert.</w:t>
      </w:r>
    </w:p>
    <w:p>
      <w:pPr>
        <w:pStyle w:val="Heading3"/>
      </w:pPr>
      <w:r>
        <w:rPr>
          <w:rFonts w:ascii="Times New Roman" w:hAnsi="Times New Roman"/>
        </w:rPr>
        <w:t>3.3 Doppelrolle Tarek Abadi</w:t>
      </w:r>
    </w:p>
    <w:p>
      <w:pPr>
        <w:jc w:val="left"/>
      </w:pPr>
      <w:r>
        <w:t xml:space="preserve">Sachverhalt: Tarek Abadi ist managing partner des Konsortiums </w:t>
      </w:r>
      <w:r>
        <w:rPr>
          <w:b/>
        </w:rPr>
        <w:t>und</w:t>
      </w:r>
      <w:r>
        <w:t xml:space="preserve"> Berater der Spreebogen Regulatory GmbH.</w:t>
      </w:r>
    </w:p>
    <w:p>
      <w:pPr>
        <w:jc w:val="left"/>
      </w:pPr>
      <w:r>
        <w:t>Bewertung: § 3 Mandatsvertrag Nordsee Elektrolyse erlaubt die Doppelrolle ausdrücklich. Bei Honorarstand-Konflikt ist Tarek nicht vertretungsberechtigt; dies ist intern operativ umgesetzt (Slack 22.05.2026 11:20 Uhr).</w:t>
      </w:r>
    </w:p>
    <w:p>
      <w:pPr>
        <w:jc w:val="left"/>
      </w:pPr>
      <w:r>
        <w:t>Massnahme: Keine weitere Massnahme erforderlich; im Register als "betraute Person Spreebogen" geführt, im Compliance-Register als Doppelrolle dokumentiert.</w:t>
      </w:r>
    </w:p>
    <w:p>
      <w:pPr>
        <w:pStyle w:val="Heading3"/>
      </w:pPr>
      <w:r>
        <w:rPr>
          <w:rFonts w:ascii="Times New Roman" w:hAnsi="Times New Roman"/>
        </w:rPr>
        <w:t>3.4 Honorarstand Nordsee Elektrolyse</w:t>
      </w:r>
    </w:p>
    <w:p>
      <w:pPr>
        <w:jc w:val="left"/>
      </w:pPr>
      <w:r>
        <w:t>Sachverhalt: Aprilrechnung 12.500 EUR netto offen seit 30.04.2026; Mahnstand 1 am 14.05.2026.</w:t>
      </w:r>
    </w:p>
    <w:p>
      <w:pPr>
        <w:jc w:val="left"/>
      </w:pPr>
      <w:r>
        <w:t xml:space="preserve">Bewertung: Mandat besteht weiter (§ 7 erlaubt Leistungseinstellung erst nach 21 Tagen Verzug </w:t>
      </w:r>
      <w:r>
        <w:rPr>
          <w:b/>
        </w:rPr>
        <w:t>und</w:t>
      </w:r>
      <w:r>
        <w:t xml:space="preserve"> schriftlicher Anzeige). Der Verzug berührt die Eintragspflicht nicht. Aber bei Mandatsbeendigung muss der Eintrag aktualisiert werden.</w:t>
      </w:r>
    </w:p>
    <w:p>
      <w:pPr>
        <w:jc w:val="left"/>
      </w:pPr>
      <w:r>
        <w:t>Massnahme: Mahnstand 2 bei Nichtzahlung bis 15.06.2026. Falls Eskalation, Mandantenkommunikation und ggf. Mandatsbeendigung schriftlich.</w:t>
      </w:r>
    </w:p>
    <w:p>
      <w:pPr>
        <w:pStyle w:val="Heading2"/>
      </w:pPr>
      <w:r>
        <w:rPr>
          <w:rFonts w:ascii="Times New Roman" w:hAnsi="Times New Roman"/>
        </w:rPr>
        <w:t>4. Empfehlung und Beschluss</w:t>
      </w:r>
    </w:p>
    <w:p>
      <w:pPr>
        <w:pStyle w:val="ListNumber"/>
      </w:pPr>
      <w:r>
        <w:t xml:space="preserve">Der Lobbyregistereintrag wird </w:t>
      </w:r>
      <w:r>
        <w:rPr>
          <w:b/>
        </w:rPr>
        <w:t>am 30.05.2026</w:t>
      </w:r>
      <w:r>
        <w:t xml:space="preserve"> mit dem korrigierten Wortlaut eingespielt (vgl. 20_registerdiff_alt_neu.md).</w:t>
      </w:r>
    </w:p>
    <w:p>
      <w:pPr>
        <w:pStyle w:val="ListNumber"/>
      </w:pPr>
      <w:r>
        <w:t xml:space="preserve">Die OpenGrid Events UG wird </w:t>
      </w:r>
      <w:r>
        <w:rPr>
          <w:b/>
        </w:rPr>
        <w:t>als Unterauftragnehmer</w:t>
      </w:r>
      <w:r>
        <w:t xml:space="preserve"> mit transparenter Beschreibung der Vergangenheit (inhaltliche Mitwirkung) und der Zukunft (Logistikbeschraenkung) geführt.</w:t>
      </w:r>
    </w:p>
    <w:p>
      <w:pPr>
        <w:pStyle w:val="ListNumber"/>
      </w:pPr>
      <w:r>
        <w:t xml:space="preserve">Die Stellungnahmen HansaH2 und Konsortium werden im </w:t>
      </w:r>
      <w:r>
        <w:rPr>
          <w:b/>
        </w:rPr>
        <w:t>Q2-Upload getrennt</w:t>
      </w:r>
      <w:r>
        <w:t xml:space="preserve"> geführt, je nach Auftraggeber.</w:t>
      </w:r>
    </w:p>
    <w:p>
      <w:pPr>
        <w:pStyle w:val="ListNumber"/>
      </w:pPr>
      <w:r>
        <w:t xml:space="preserve">Pflichtschulung </w:t>
      </w:r>
      <w:r>
        <w:rPr>
          <w:b/>
        </w:rPr>
        <w:t>31.05.2026</w:t>
      </w:r>
      <w:r>
        <w:t xml:space="preserve"> für alle Spreebogen-Mitarbeitern mit Bundeskontakt.</w:t>
      </w:r>
    </w:p>
    <w:p>
      <w:pPr>
        <w:pStyle w:val="ListNumber"/>
      </w:pPr>
      <w:r>
        <w:t>Doppelrolle Tarek Abadi ist akzeptiert; bei Honorarkonflikt Vertretung durch Dr. Friederike Soltau (SoltauStrom AG).</w:t>
      </w:r>
    </w:p>
    <w:p>
      <w:pPr>
        <w:pStyle w:val="ListNumber"/>
      </w:pPr>
      <w:r>
        <w:t>Mandatsaktualisierung beim Ausfall eines Mandats binnen drei Werktagen.</w:t>
      </w:r>
    </w:p>
    <w:p>
      <w:pPr>
        <w:pStyle w:val="Heading2"/>
      </w:pPr>
      <w:r>
        <w:rPr>
          <w:rFonts w:ascii="Times New Roman" w:hAnsi="Times New Roman"/>
        </w:rPr>
        <w:t>5. Sprachregelung extern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Frage</w:t>
            </w:r>
          </w:p>
        </w:tc>
        <w:tc>
          <w:tcPr>
            <w:tcW w:type="dxa" w:w="4536"/>
          </w:tcPr>
          <w:p>
            <w:r>
              <w:rPr>
                <w:rFonts w:ascii="Times New Roman" w:hAnsi="Times New Roman"/>
                <w:b/>
                <w:sz w:val="20"/>
              </w:rPr>
              <w:t>Antwort</w:t>
            </w:r>
          </w:p>
        </w:tc>
      </w:tr>
      <w:tr>
        <w:tc>
          <w:tcPr>
            <w:tcW w:type="dxa" w:w="4536"/>
          </w:tcPr>
          <w:p>
            <w:r>
              <w:rPr>
                <w:rFonts w:ascii="Times New Roman" w:hAnsi="Times New Roman"/>
                <w:sz w:val="20"/>
              </w:rPr>
              <w:t>"Vertretet ihr die Wasserstoffwirtschaft?"</w:t>
            </w:r>
          </w:p>
        </w:tc>
        <w:tc>
          <w:tcPr>
            <w:tcW w:type="dxa" w:w="4536"/>
          </w:tcPr>
          <w:p>
            <w:r>
              <w:rPr>
                <w:rFonts w:ascii="Times New Roman" w:hAnsi="Times New Roman"/>
                <w:sz w:val="20"/>
              </w:rPr>
              <w:t>"Nein. Wir vertreten zwei Auftraggeber, die HansaH2 Storage AG und die Nordsee Elektrolyse Konsortium GbR."</w:t>
            </w:r>
          </w:p>
        </w:tc>
      </w:tr>
      <w:tr>
        <w:tc>
          <w:tcPr>
            <w:tcW w:type="dxa" w:w="4536"/>
          </w:tcPr>
          <w:p>
            <w:r>
              <w:rPr>
                <w:rFonts w:ascii="Times New Roman" w:hAnsi="Times New Roman"/>
                <w:sz w:val="20"/>
              </w:rPr>
              <w:t>"Hat OpenGrid für euch politisch gearbeitet?"</w:t>
            </w:r>
          </w:p>
        </w:tc>
        <w:tc>
          <w:tcPr>
            <w:tcW w:type="dxa" w:w="4536"/>
          </w:tcPr>
          <w:p>
            <w:r>
              <w:rPr>
                <w:rFonts w:ascii="Times New Roman" w:hAnsi="Times New Roman"/>
                <w:sz w:val="20"/>
              </w:rPr>
              <w:t>"OpenGrid Events UG hat für eine Einladung Argumentationsbausteine geliefert. Diese Mitwirkung war nicht im ursprünglichen Logistikvertrag vorgesehen; wir haben den Vorgang vertraglich klargestellt und im Register transparent ausgewiesen."</w:t>
            </w:r>
          </w:p>
        </w:tc>
      </w:tr>
      <w:tr>
        <w:tc>
          <w:tcPr>
            <w:tcW w:type="dxa" w:w="4536"/>
          </w:tcPr>
          <w:p>
            <w:r>
              <w:rPr>
                <w:rFonts w:ascii="Times New Roman" w:hAnsi="Times New Roman"/>
                <w:sz w:val="20"/>
              </w:rPr>
              <w:t>"Ist Tarek Abadi neutral?"</w:t>
            </w:r>
          </w:p>
        </w:tc>
        <w:tc>
          <w:tcPr>
            <w:tcW w:type="dxa" w:w="4536"/>
          </w:tcPr>
          <w:p>
            <w:r>
              <w:rPr>
                <w:rFonts w:ascii="Times New Roman" w:hAnsi="Times New Roman"/>
                <w:sz w:val="20"/>
              </w:rPr>
              <w:t>"Tarek Abadi ist Vertreter eines Auftraggebers und berät zugleich Spreebogen. Diese Doppelrolle ist offengelegt und im Honorarbereich operativ abgesichert."</w:t>
            </w:r>
          </w:p>
        </w:tc>
      </w:tr>
      <w:tr>
        <w:tc>
          <w:tcPr>
            <w:tcW w:type="dxa" w:w="4536"/>
          </w:tcPr>
          <w:p>
            <w:r>
              <w:rPr>
                <w:rFonts w:ascii="Times New Roman" w:hAnsi="Times New Roman"/>
                <w:sz w:val="20"/>
              </w:rPr>
              <w:t>"Wie hoch ist euer Honorarvolumen?"</w:t>
            </w:r>
          </w:p>
        </w:tc>
        <w:tc>
          <w:tcPr>
            <w:tcW w:type="dxa" w:w="4536"/>
          </w:tcPr>
          <w:p>
            <w:r>
              <w:rPr>
                <w:rFonts w:ascii="Times New Roman" w:hAnsi="Times New Roman"/>
                <w:sz w:val="20"/>
              </w:rPr>
              <w:t>"Wir aeussern uns nicht zu Honorarvolumina einzelner Mandate. Die im Lobbyregister anzugebenden Schwellenwerte werden korrekt berichtet."</w:t>
            </w:r>
          </w:p>
        </w:tc>
      </w:tr>
    </w:tbl>
    <w:p>
      <w:pPr>
        <w:pStyle w:val="Heading2"/>
      </w:pPr>
      <w:r>
        <w:rPr>
          <w:rFonts w:ascii="Times New Roman" w:hAnsi="Times New Roman"/>
        </w:rPr>
        <w:t>6. Termine</w:t>
      </w:r>
    </w:p>
    <w:p>
      <w:pPr>
        <w:pStyle w:val="ListBullet"/>
      </w:pPr>
      <w:r>
        <w:t>28.05.2026: interne QS Compliance</w:t>
      </w:r>
    </w:p>
    <w:p>
      <w:pPr>
        <w:pStyle w:val="ListBullet"/>
      </w:pPr>
      <w:r>
        <w:t>30.05.2026: Eintrag einspielen</w:t>
      </w:r>
    </w:p>
    <w:p>
      <w:pPr>
        <w:pStyle w:val="ListBullet"/>
      </w:pPr>
      <w:r>
        <w:t>31.05.2026: Pflichtschulung</w:t>
      </w:r>
    </w:p>
    <w:p>
      <w:pPr>
        <w:pStyle w:val="ListBullet"/>
      </w:pPr>
      <w:r>
        <w:t>02.06.2026: Antwort der Registerstelle auf RFS-Anfrage (erwartet)</w:t>
      </w:r>
    </w:p>
    <w:p>
      <w:pPr>
        <w:pStyle w:val="ListBullet"/>
      </w:pPr>
      <w:r>
        <w:t>12.06.2026: Parlamentarisches Fachgespräch</w:t>
      </w:r>
    </w:p>
    <w:p>
      <w:pPr>
        <w:pStyle w:val="ListBullet"/>
      </w:pPr>
      <w:r>
        <w:t>30.06.2026: Q2-Upload Stellungnahmen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Compliance Officer Spreebogen Regulatory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Compliance Officer Spreebogen Regulatory GmbH</w:t>
    </w:r>
  </w:p>
  <w:p>
    <w:pPr>
      <w:jc w:val="left"/>
      <w:pBdr>
        <w:bottom w:val="single" w:sz="6" w:space="2" w:color="8A6A1F"/>
      </w:pBdr>
    </w:pPr>
    <w:r>
      <w:rPr>
        <w:rFonts w:ascii="Times New Roman" w:hAnsi="Times New Roman"/>
        <w:color w:val="6B6B66"/>
        <w:sz w:val="16"/>
      </w:rPr>
      <w:t>Unternehmen · Aktenzeichen: SBR-COMP-2026-03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