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International Registry (Aviareto, Dublin)</w:t>
      </w:r>
    </w:p>
    <w:p>
      <w:pPr>
        <w:pStyle w:val="Heading1"/>
      </w:pPr>
      <w:r>
        <w:t>Aircraft Mortgage / International Interest - Registrierungsauszug</w:t>
      </w:r>
    </w:p>
    <w:p>
      <w:r>
        <w:t>Registration Summary, International Registry established under the Convention on International Interests in Mobile Equipment (Cape Town Convention, 2001) and the Protocol on Matters Specific to Aircraft Equipment.</w:t>
      </w:r>
    </w:p>
    <w:p>
      <w:r>
        <w:t>Registration Number: CTC-2016-0304-AFS-6217</w:t>
      </w:r>
    </w:p>
    <w:p>
      <w:r>
        <w:t>Debtor: WestAir Regional GmbH. Creditor: Airbus Financial Services (Dublin) DAC.</w:t>
      </w:r>
    </w:p>
    <w:p>
      <w:r>
        <w:t>Object: Airframe MSN 6217 (Airbus A320-214).</w:t>
      </w:r>
    </w:p>
    <w:p>
      <w:r>
        <w:t>Nature of interest: International Interest (Prospective) converted to registered International Interest upon delivery, priority date 02.03.2016.</w:t>
      </w:r>
    </w:p>
    <w:p>
      <w:r>
        <w:t>Status: aktiv, keine Loeschung eingetragen (Stand Abfrage 06.02.2026).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WestAir Regional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WestAir Regional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