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Red-Flag-Memorandum</w:t>
      </w:r>
    </w:p>
    <w:p>
      <w:pPr>
        <w:jc w:val="left"/>
      </w:pPr>
      <w:r>
        <w:rPr>
          <w:b/>
        </w:rPr>
        <w:t>Datum:</w:t>
      </w:r>
      <w:r>
        <w:t xml:space="preserve"> 5. Dezember 2025</w:t>
      </w:r>
    </w:p>
    <w:p>
      <w:pPr>
        <w:jc w:val="left"/>
      </w:pPr>
      <w:r>
        <w:rPr>
          <w:b/>
        </w:rPr>
        <w:t>Ersteller:</w:t>
      </w:r>
      <w:r>
        <w:t xml:space="preserve"> Drosselberg, Mannfeldt &amp; Partner Rechtsanwälte mbB</w:t>
      </w:r>
    </w:p>
    <w:p>
      <w:pPr>
        <w:jc w:val="left"/>
      </w:pPr>
      <w:r>
        <w:rPr>
          <w:b/>
        </w:rPr>
        <w:t>Verteiler:</w:t>
      </w:r>
      <w:r>
        <w:t xml:space="preserve"> VERTRAULICH — Nur an Theodora Volkenrath-Eichelmann (VENERA)</w:t>
      </w:r>
    </w:p>
    <w:p>
      <w:pPr>
        <w:jc w:val="left"/>
      </w:pPr>
      <w:r>
        <w:rPr>
          <w:b/>
        </w:rPr>
        <w:t>Status:</w:t>
      </w:r>
      <w:r>
        <w:t xml:space="preserve"> ENTWURF — NICHT FINALISIERT</w:t>
      </w:r>
    </w:p>
    <w:p/>
    <w:p>
      <w:pPr>
        <w:pStyle w:val="Heading2"/>
      </w:pPr>
      <w:r>
        <w:rPr>
          <w:rFonts w:ascii="Times New Roman" w:hAnsi="Times New Roman"/>
        </w:rPr>
        <w:t>Zusammenfassung</w:t>
      </w:r>
    </w:p>
    <w:p>
      <w:pPr>
        <w:jc w:val="left"/>
      </w:pPr>
      <w:r>
        <w:t>Das vorliegende Red-Flag-Memorandum fasst die 14 kritischsten Befunde der Legal Due Diligence des Geschäftsbereichs FraktoMedis Präzision zusammen. Es ersetzt keinen abschliessenden LDD-Bericht, sondern dient der Entscheidungsunterstützung für das Signing-Clearance-Prozess.</w:t>
      </w:r>
    </w:p>
    <w:p>
      <w:pPr>
        <w:jc w:val="left"/>
      </w:pPr>
      <w:r>
        <w:rPr>
          <w:b/>
        </w:rPr>
        <w:t>Gesamtrisikobewertung:</w:t>
      </w:r>
      <w:r>
        <w:t xml:space="preserve"> ERHÖHT. Transaktion erscheint trotz Risikolage grundsätzlich durchführbar, bedarf jedoch erheblicher vertraglicher Schutzinstrumente.</w:t>
      </w:r>
    </w:p>
    <w:p/>
    <w:p>
      <w:pPr>
        <w:pStyle w:val="Heading2"/>
      </w:pPr>
      <w:r>
        <w:rPr>
          <w:rFonts w:ascii="Times New Roman" w:hAnsi="Times New Roman"/>
        </w:rPr>
        <w:t>Kritische Findings (Priorität RED/HIGH)</w:t>
      </w:r>
    </w:p>
    <w:p>
      <w:pPr>
        <w:pStyle w:val="Heading3"/>
      </w:pPr>
      <w:r>
        <w:rPr>
          <w:rFonts w:ascii="Times New Roman" w:hAnsi="Times New Roman"/>
        </w:rPr>
        <w:t>Issue 1 — Fehlender HV-Beschluss zum Carve-Out (Corporate)</w:t>
      </w:r>
    </w:p>
    <w:p>
      <w:pPr>
        <w:jc w:val="left"/>
      </w:pPr>
      <w:r>
        <w:rPr>
          <w:b/>
        </w:rPr>
        <w:t>Risiko:</w:t>
      </w:r>
      <w:r>
        <w:t xml:space="preserve"> Anfechtbarkeit des Asset Deals mangels § 179a AktG-Beschluss.</w:t>
      </w:r>
    </w:p>
    <w:p>
      <w:pPr>
        <w:jc w:val="left"/>
      </w:pPr>
      <w:r>
        <w:rPr>
          <w:b/>
        </w:rPr>
        <w:t>Massnahme:</w:t>
      </w:r>
      <w:r>
        <w:t xml:space="preserve"> Ausserordentliche HV oder schriftlicher Umlaufbeschluss sämtlicher Aktionäre.</w:t>
      </w:r>
    </w:p>
    <w:p>
      <w:pPr>
        <w:jc w:val="left"/>
      </w:pPr>
      <w:r>
        <w:rPr>
          <w:b/>
        </w:rPr>
        <w:t>Bewertung:</w:t>
      </w:r>
      <w:r>
        <w:t xml:space="preserve"> RED</w:t>
      </w:r>
    </w:p>
    <w:p>
      <w:pPr>
        <w:pStyle w:val="Heading3"/>
      </w:pPr>
      <w:r>
        <w:rPr>
          <w:rFonts w:ascii="Times New Roman" w:hAnsi="Times New Roman"/>
        </w:rPr>
        <w:t>Issue 2 — Patentnichtigkeitsklage EP 3 847 112 (BPatG 3 Ni 44/24)</w:t>
      </w:r>
    </w:p>
    <w:p>
      <w:pPr>
        <w:jc w:val="left"/>
      </w:pPr>
      <w:r>
        <w:rPr>
          <w:b/>
        </w:rPr>
        <w:t>Risiko:</w:t>
      </w:r>
      <w:r>
        <w:t xml:space="preserve"> Vernichtung eines werttraegenden Kernpatents (Anteil am EV ca. 28 Mio. EUR).</w:t>
      </w:r>
    </w:p>
    <w:p>
      <w:pPr>
        <w:jc w:val="left"/>
      </w:pPr>
      <w:r>
        <w:rPr>
          <w:b/>
        </w:rPr>
        <w:t>Massnahme:</w:t>
      </w:r>
      <w:r>
        <w:t xml:space="preserve"> Kaufpreisabschlag, Indemnity, IP-Litigation-Escrow.</w:t>
      </w:r>
    </w:p>
    <w:p>
      <w:pPr>
        <w:jc w:val="left"/>
      </w:pPr>
      <w:r>
        <w:rPr>
          <w:b/>
        </w:rPr>
        <w:t>Bewertung:</w:t>
      </w:r>
      <w:r>
        <w:t xml:space="preserve"> RED</w:t>
      </w:r>
    </w:p>
    <w:p>
      <w:pPr>
        <w:pStyle w:val="Heading3"/>
      </w:pPr>
      <w:r>
        <w:rPr>
          <w:rFonts w:ascii="Times New Roman" w:hAnsi="Times New Roman"/>
        </w:rPr>
        <w:t>Issue 3 — DOJ Subpoena / FCPA (US-Tochter FraktoMedis Inc.)</w:t>
      </w:r>
    </w:p>
    <w:p>
      <w:pPr>
        <w:jc w:val="left"/>
      </w:pPr>
      <w:r>
        <w:rPr>
          <w:b/>
        </w:rPr>
        <w:t>Risiko:</w:t>
      </w:r>
      <w:r>
        <w:t xml:space="preserve"> Strafrechtliche Exposure des Käufers bei Ubernahme US-Aktivitäten; Reputationsrisiko.</w:t>
      </w:r>
    </w:p>
    <w:p>
      <w:pPr>
        <w:jc w:val="left"/>
      </w:pPr>
      <w:r>
        <w:rPr>
          <w:b/>
        </w:rPr>
        <w:t>Massnahme:</w:t>
      </w:r>
      <w:r>
        <w:t xml:space="preserve"> US-Counsel (FCPA-Spezialist) hinzuziehen; US-Tochter vorläufig aus Asset-Deal-Scope ausklammern.</w:t>
      </w:r>
    </w:p>
    <w:p>
      <w:pPr>
        <w:jc w:val="left"/>
      </w:pPr>
      <w:r>
        <w:rPr>
          <w:b/>
        </w:rPr>
        <w:t>Bewertung:</w:t>
      </w:r>
      <w:r>
        <w:t xml:space="preserve"> RED</w:t>
      </w:r>
    </w:p>
    <w:p>
      <w:pPr>
        <w:pStyle w:val="Heading3"/>
      </w:pPr>
      <w:r>
        <w:rPr>
          <w:rFonts w:ascii="Times New Roman" w:hAnsi="Times New Roman"/>
        </w:rPr>
        <w:t>Issue 4 — Korruption Lateinamerika 2022 (Brasilien/Mexiko)</w:t>
      </w:r>
    </w:p>
    <w:p>
      <w:pPr>
        <w:jc w:val="left"/>
      </w:pPr>
      <w:r>
        <w:rPr>
          <w:b/>
        </w:rPr>
        <w:t>Risiko:</w:t>
      </w:r>
      <w:r>
        <w:t xml:space="preserve"> Bussgeldrisiko gemäß deutschem Recht (§ 30 OWiG), potenzielle DoJ-Exposure.</w:t>
      </w:r>
    </w:p>
    <w:p>
      <w:pPr>
        <w:jc w:val="left"/>
      </w:pPr>
      <w:r>
        <w:rPr>
          <w:b/>
        </w:rPr>
        <w:t>Massnahme:</w:t>
      </w:r>
      <w:r>
        <w:t xml:space="preserve"> Vorlage Klamroth-Bericht als Closing-Condition; umfassende Indemnity.</w:t>
      </w:r>
    </w:p>
    <w:p>
      <w:pPr>
        <w:jc w:val="left"/>
      </w:pPr>
      <w:r>
        <w:rPr>
          <w:b/>
        </w:rPr>
        <w:t>Bewertung:</w:t>
      </w:r>
      <w:r>
        <w:t xml:space="preserve"> RED</w:t>
      </w:r>
    </w:p>
    <w:p>
      <w:pPr>
        <w:pStyle w:val="Heading3"/>
      </w:pPr>
      <w:r>
        <w:rPr>
          <w:rFonts w:ascii="Times New Roman" w:hAnsi="Times New Roman"/>
        </w:rPr>
        <w:t>Issue 5 — Massenwiderspruch § 613a BGB (ca. 40 Mitarbeiter)</w:t>
      </w:r>
    </w:p>
    <w:p>
      <w:pPr>
        <w:jc w:val="left"/>
      </w:pPr>
      <w:r>
        <w:rPr>
          <w:b/>
        </w:rPr>
        <w:t>Risiko:</w:t>
      </w:r>
      <w:r>
        <w:t xml:space="preserve"> Verlust wesentlicher Belegschaft, Produktionsausfälle, Folgekosten.</w:t>
      </w:r>
    </w:p>
    <w:p>
      <w:pPr>
        <w:jc w:val="left"/>
      </w:pPr>
      <w:r>
        <w:rPr>
          <w:b/>
        </w:rPr>
        <w:t>Massnahme:</w:t>
      </w:r>
      <w:r>
        <w:t xml:space="preserve"> Frue zeitige Mitarbeiter-Kommunikation; Sozialplan; attraktive VENERA-Konditionen signalisieren.</w:t>
      </w:r>
    </w:p>
    <w:p>
      <w:pPr>
        <w:jc w:val="left"/>
      </w:pPr>
      <w:r>
        <w:rPr>
          <w:b/>
        </w:rPr>
        <w:t>Bewertung:</w:t>
      </w:r>
      <w:r>
        <w:t xml:space="preserve"> HIGH</w:t>
      </w:r>
    </w:p>
    <w:p>
      <w:pPr>
        <w:pStyle w:val="Heading3"/>
      </w:pPr>
      <w:r>
        <w:rPr>
          <w:rFonts w:ascii="Times New Roman" w:hAnsi="Times New Roman"/>
        </w:rPr>
        <w:t>Issue 6 — Standortgarantie Darmstadt-Nord (bis 31.12.2026)</w:t>
      </w:r>
    </w:p>
    <w:p>
      <w:pPr>
        <w:jc w:val="left"/>
      </w:pPr>
      <w:r>
        <w:rPr>
          <w:b/>
        </w:rPr>
        <w:t>Risiko:</w:t>
      </w:r>
      <w:r>
        <w:t xml:space="preserve"> Betriebsrat fordert 5-Jahres-Verlängerung; Einigungsstellenverfahren droht.</w:t>
      </w:r>
    </w:p>
    <w:p>
      <w:pPr>
        <w:jc w:val="left"/>
      </w:pPr>
      <w:r>
        <w:rPr>
          <w:b/>
        </w:rPr>
        <w:t>Massnahme:</w:t>
      </w:r>
      <w:r>
        <w:t xml:space="preserve"> Friuehzeitige Verhandlung mit Betriebsrat; Sozialplan-Provision im SPA.</w:t>
      </w:r>
    </w:p>
    <w:p>
      <w:pPr>
        <w:jc w:val="left"/>
      </w:pPr>
      <w:r>
        <w:rPr>
          <w:b/>
        </w:rPr>
        <w:t>Bewertung:</w:t>
      </w:r>
      <w:r>
        <w:t xml:space="preserve"> HIGH</w:t>
      </w:r>
    </w:p>
    <w:p>
      <w:pPr>
        <w:pStyle w:val="Heading3"/>
      </w:pPr>
      <w:r>
        <w:rPr>
          <w:rFonts w:ascii="Times New Roman" w:hAnsi="Times New Roman"/>
        </w:rPr>
        <w:t>Issue 7 — Grundschuldbelastung Fertigungshalle 8 Mio. EUR</w:t>
      </w:r>
    </w:p>
    <w:p>
      <w:pPr>
        <w:jc w:val="left"/>
      </w:pPr>
      <w:r>
        <w:rPr>
          <w:b/>
        </w:rPr>
        <w:t>Risiko:</w:t>
      </w:r>
      <w:r>
        <w:t xml:space="preserve"> Lastenfreiheit der Immobilie ist Closing-Bedingung.</w:t>
      </w:r>
    </w:p>
    <w:p>
      <w:pPr>
        <w:jc w:val="left"/>
      </w:pPr>
      <w:r>
        <w:rPr>
          <w:b/>
        </w:rPr>
        <w:t>Massnahme:</w:t>
      </w:r>
      <w:r>
        <w:t xml:space="preserve"> Ablösung durch Verkäufer; ggf. Kaufpreisreduktion.</w:t>
      </w:r>
    </w:p>
    <w:p>
      <w:pPr>
        <w:jc w:val="left"/>
      </w:pPr>
      <w:r>
        <w:rPr>
          <w:b/>
        </w:rPr>
        <w:t>Bewertung:</w:t>
      </w:r>
      <w:r>
        <w:t xml:space="preserve"> HIGH</w:t>
      </w:r>
    </w:p>
    <w:p>
      <w:pPr>
        <w:pStyle w:val="Heading3"/>
      </w:pPr>
      <w:r>
        <w:rPr>
          <w:rFonts w:ascii="Times New Roman" w:hAnsi="Times New Roman"/>
        </w:rPr>
        <w:t>Issue 8 — Beratervertrag Schwiegersohn (§ 57 AktG)</w:t>
      </w:r>
    </w:p>
    <w:p>
      <w:pPr>
        <w:jc w:val="left"/>
      </w:pPr>
      <w:r>
        <w:rPr>
          <w:b/>
        </w:rPr>
        <w:t>Risiko:</w:t>
      </w:r>
      <w:r>
        <w:t xml:space="preserve"> Ruckforderungsanspruch gegen FraktoMedis SE; Haftung des Vorstands.</w:t>
      </w:r>
    </w:p>
    <w:p>
      <w:pPr>
        <w:jc w:val="left"/>
      </w:pPr>
      <w:r>
        <w:rPr>
          <w:b/>
        </w:rPr>
        <w:t>Massnahme:</w:t>
      </w:r>
      <w:r>
        <w:t xml:space="preserve"> Indemnity Verkäufer; KuendigungZ-Regelung als Closing-Condition.</w:t>
      </w:r>
    </w:p>
    <w:p>
      <w:pPr>
        <w:jc w:val="left"/>
      </w:pPr>
      <w:r>
        <w:rPr>
          <w:b/>
        </w:rPr>
        <w:t>Bewertung:</w:t>
      </w:r>
      <w:r>
        <w:t xml:space="preserve"> HIGH</w:t>
      </w:r>
    </w:p>
    <w:p>
      <w:pPr>
        <w:pStyle w:val="Heading3"/>
      </w:pPr>
      <w:r>
        <w:rPr>
          <w:rFonts w:ascii="Times New Roman" w:hAnsi="Times New Roman"/>
        </w:rPr>
        <w:t>Issue 9 — Change-of-Control-Klauseln in Lizenzverträgen (IP)</w:t>
      </w:r>
    </w:p>
    <w:p>
      <w:pPr>
        <w:jc w:val="left"/>
      </w:pPr>
      <w:r>
        <w:rPr>
          <w:b/>
        </w:rPr>
        <w:t>Risiko:</w:t>
      </w:r>
      <w:r>
        <w:t xml:space="preserve"> Aufkuendigung lukrativer Lizenzverträge durch Lizenznehmer.</w:t>
      </w:r>
    </w:p>
    <w:p>
      <w:pPr>
        <w:jc w:val="left"/>
      </w:pPr>
      <w:r>
        <w:rPr>
          <w:b/>
        </w:rPr>
        <w:t>Massnahme:</w:t>
      </w:r>
      <w:r>
        <w:t xml:space="preserve"> Konsensvereinbarungen mit Lizenznehmern vor Closing.</w:t>
      </w:r>
    </w:p>
    <w:p>
      <w:pPr>
        <w:jc w:val="left"/>
      </w:pPr>
      <w:r>
        <w:rPr>
          <w:b/>
        </w:rPr>
        <w:t>Bewertung:</w:t>
      </w:r>
      <w:r>
        <w:t xml:space="preserve"> MEDIUM-HIGH</w:t>
      </w:r>
    </w:p>
    <w:p>
      <w:pPr>
        <w:pStyle w:val="Heading3"/>
      </w:pPr>
      <w:r>
        <w:rPr>
          <w:rFonts w:ascii="Times New Roman" w:hAnsi="Times New Roman"/>
        </w:rPr>
        <w:t>Issue 10 — Altlastenverdacht Grundstueck Darmstadt-Nord</w:t>
      </w:r>
    </w:p>
    <w:p>
      <w:pPr>
        <w:jc w:val="left"/>
      </w:pPr>
      <w:r>
        <w:rPr>
          <w:b/>
        </w:rPr>
        <w:t>Risiko:</w:t>
      </w:r>
      <w:r>
        <w:t xml:space="preserve"> Sanierungskosten bis zu 3 Mio. EUR (Schadensschätzung).</w:t>
      </w:r>
    </w:p>
    <w:p>
      <w:pPr>
        <w:jc w:val="left"/>
      </w:pPr>
      <w:r>
        <w:rPr>
          <w:b/>
        </w:rPr>
        <w:t>Massnahme:</w:t>
      </w:r>
      <w:r>
        <w:t xml:space="preserve"> Phase-II-Umweltgutachten; Indemnity Verkäufer; Kaufpreisanpassung.</w:t>
      </w:r>
    </w:p>
    <w:p>
      <w:pPr>
        <w:jc w:val="left"/>
      </w:pPr>
      <w:r>
        <w:rPr>
          <w:b/>
        </w:rPr>
        <w:t>Bewertung:</w:t>
      </w:r>
      <w:r>
        <w:t xml:space="preserve"> MEDIUM</w:t>
      </w:r>
    </w:p>
    <w:p>
      <w:pPr>
        <w:pStyle w:val="Heading3"/>
      </w:pPr>
      <w:r>
        <w:rPr>
          <w:rFonts w:ascii="Times New Roman" w:hAnsi="Times New Roman"/>
        </w:rPr>
        <w:t>Issue 11 — Produkthaftungsfall LG Frankfurt (2 O 8814/24)</w:t>
      </w:r>
    </w:p>
    <w:p>
      <w:pPr>
        <w:jc w:val="left"/>
      </w:pPr>
      <w:r>
        <w:rPr>
          <w:b/>
        </w:rPr>
        <w:t>Risiko:</w:t>
      </w:r>
      <w:r>
        <w:t xml:space="preserve"> Unversicherter Schaden ca. 1,2 Mio. EUR.</w:t>
      </w:r>
    </w:p>
    <w:p>
      <w:pPr>
        <w:jc w:val="left"/>
      </w:pPr>
      <w:r>
        <w:rPr>
          <w:b/>
        </w:rPr>
        <w:t>Massnahme:</w:t>
      </w:r>
      <w:r>
        <w:t xml:space="preserve"> Litigation-Indemnity; Litigation-Escrow.</w:t>
      </w:r>
    </w:p>
    <w:p>
      <w:pPr>
        <w:jc w:val="left"/>
      </w:pPr>
      <w:r>
        <w:rPr>
          <w:b/>
        </w:rPr>
        <w:t>Bewertung:</w:t>
      </w:r>
      <w:r>
        <w:t xml:space="preserve"> MEDIUM</w:t>
      </w:r>
    </w:p>
    <w:p>
      <w:pPr>
        <w:pStyle w:val="Heading3"/>
      </w:pPr>
      <w:r>
        <w:rPr>
          <w:rFonts w:ascii="Times New Roman" w:hAnsi="Times New Roman"/>
        </w:rPr>
        <w:t>Issue 12 — DSGVO-Defizite (nicht-EU-Server)</w:t>
      </w:r>
    </w:p>
    <w:p>
      <w:pPr>
        <w:jc w:val="left"/>
      </w:pPr>
      <w:r>
        <w:rPr>
          <w:b/>
        </w:rPr>
        <w:t>Risiko:</w:t>
      </w:r>
      <w:r>
        <w:t xml:space="preserve"> Bussgeld bis 4% des weltweiten Jahresumsatzes gemäß Art. 83 DSGVO.</w:t>
      </w:r>
    </w:p>
    <w:p>
      <w:pPr>
        <w:jc w:val="left"/>
      </w:pPr>
      <w:r>
        <w:rPr>
          <w:b/>
        </w:rPr>
        <w:t>Massnahme:</w:t>
      </w:r>
      <w:r>
        <w:t xml:space="preserve"> Re-Audit; Abstellungsmassnahmen als Closing-Condition.</w:t>
      </w:r>
    </w:p>
    <w:p>
      <w:pPr>
        <w:jc w:val="left"/>
      </w:pPr>
      <w:r>
        <w:rPr>
          <w:b/>
        </w:rPr>
        <w:t>Bewertung:</w:t>
      </w:r>
      <w:r>
        <w:t xml:space="preserve"> MEDIUM</w:t>
      </w:r>
    </w:p>
    <w:p>
      <w:pPr>
        <w:pStyle w:val="Heading3"/>
      </w:pPr>
      <w:r>
        <w:rPr>
          <w:rFonts w:ascii="Times New Roman" w:hAnsi="Times New Roman"/>
        </w:rPr>
        <w:t>Issue 13 — QMS Minor Non-Conformities (MDR)</w:t>
      </w:r>
    </w:p>
    <w:p>
      <w:pPr>
        <w:jc w:val="left"/>
      </w:pPr>
      <w:r>
        <w:rPr>
          <w:b/>
        </w:rPr>
        <w:t>Risiko:</w:t>
      </w:r>
      <w:r>
        <w:t xml:space="preserve"> Rückzug der CE-Zertifizierung bei wiederholten Abweichungen.</w:t>
      </w:r>
    </w:p>
    <w:p>
      <w:pPr>
        <w:jc w:val="left"/>
      </w:pPr>
      <w:r>
        <w:rPr>
          <w:b/>
        </w:rPr>
        <w:t>Massnahme:</w:t>
      </w:r>
      <w:r>
        <w:t xml:space="preserve"> Abstellungsberichte einfordern.</w:t>
      </w:r>
    </w:p>
    <w:p>
      <w:pPr>
        <w:jc w:val="left"/>
      </w:pPr>
      <w:r>
        <w:rPr>
          <w:b/>
        </w:rPr>
        <w:t>Bewertung:</w:t>
      </w:r>
      <w:r>
        <w:t xml:space="preserve"> MEDIUM</w:t>
      </w:r>
    </w:p>
    <w:p>
      <w:pPr>
        <w:pStyle w:val="Heading3"/>
      </w:pPr>
      <w:r>
        <w:rPr>
          <w:rFonts w:ascii="Times New Roman" w:hAnsi="Times New Roman"/>
        </w:rPr>
        <w:t>Issue 14 — Handelsregister-Unregelmaeigkeit CFO-Bestellung</w:t>
      </w:r>
    </w:p>
    <w:p>
      <w:pPr>
        <w:jc w:val="left"/>
      </w:pPr>
      <w:r>
        <w:rPr>
          <w:b/>
        </w:rPr>
        <w:t>Risiko:</w:t>
      </w:r>
      <w:r>
        <w:t xml:space="preserve"> Gering; Ordnungswidrigkeitsrisiko.</w:t>
      </w:r>
    </w:p>
    <w:p>
      <w:pPr>
        <w:jc w:val="left"/>
      </w:pPr>
      <w:r>
        <w:rPr>
          <w:b/>
        </w:rPr>
        <w:t>Massnahme:</w:t>
      </w:r>
      <w:r>
        <w:t xml:space="preserve"> Klarstellende Eintragung, Dokumentation.</w:t>
      </w:r>
    </w:p>
    <w:p>
      <w:pPr>
        <w:jc w:val="left"/>
      </w:pPr>
      <w:r>
        <w:rPr>
          <w:b/>
        </w:rPr>
        <w:t>Bewertung:</w:t>
      </w:r>
      <w:r>
        <w:t xml:space="preserve"> LOW-MEDIUM</w:t>
      </w:r>
    </w:p>
    <w:p/>
    <w:p>
      <w:pPr>
        <w:pStyle w:val="Heading2"/>
      </w:pPr>
      <w:r>
        <w:rPr>
          <w:rFonts w:ascii="Times New Roman" w:hAnsi="Times New Roman"/>
        </w:rPr>
        <w:t>Gesamtbewertung und Empfehlung</w:t>
      </w:r>
    </w:p>
    <w:p>
      <w:pPr>
        <w:jc w:val="left"/>
      </w:pPr>
      <w:r>
        <w:t>Das LDD-Team empfiehlt: Transaktion fortfuhren, jedoch mit nachfolgenden Anpassungen:</w:t>
      </w:r>
    </w:p>
    <w:p>
      <w:pPr>
        <w:pStyle w:val="ListNumber"/>
      </w:pPr>
      <w:r>
        <w:t>Kaufpreisreduktion um bis zu 8 Mio. EUR (Patentnichtigkeitsrisiko + Umwelt)</w:t>
      </w:r>
    </w:p>
    <w:p>
      <w:pPr>
        <w:pStyle w:val="ListNumber"/>
      </w:pPr>
      <w:r>
        <w:t>Umfassendes Indemnity-Regime im SPA (alle RED/HIGH Issues)</w:t>
      </w:r>
    </w:p>
    <w:p>
      <w:pPr>
        <w:pStyle w:val="ListNumber"/>
      </w:pPr>
      <w:r>
        <w:t>Zusätzlicher Litigation-Escrow 4 Mio. EUR (neben Earn-Out-Escrow)</w:t>
      </w:r>
    </w:p>
    <w:p>
      <w:pPr>
        <w:pStyle w:val="ListNumber"/>
      </w:pPr>
      <w:r>
        <w:t>US-Tochter vorläufig aus Asset-Scope ausklammern</w:t>
      </w:r>
    </w:p>
    <w:p>
      <w:pPr>
        <w:pStyle w:val="ListNumber"/>
      </w:pPr>
      <w:r>
        <w:t>Klamroth-Bericht Vorlage als harte Closing-Bedingung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30 OWiG</w:t>
      </w:r>
    </w:p>
    <w:p>
      <w:pPr>
        <w:pStyle w:val="ListBullet"/>
      </w:pPr>
      <w:r>
        <w:t>dejure.org — § 179a AktG</w:t>
      </w:r>
    </w:p>
    <w:p>
      <w:pPr>
        <w:pStyle w:val="ListBullet"/>
      </w:pPr>
      <w:r>
        <w:t>dejure.org — Art. 83 DSGVO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Mannfeldt &amp; Partner Rechtsanwälte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MANNFELDT &amp; PARTNER RECHTSANWÄLTE MBB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