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11 — SPA-Strukturierung: Locked-Box vs. Closing-Accounts-Mechanismus</w:t>
      </w:r>
    </w:p>
    <w:p>
      <w:pPr>
        <w:jc w:val="left"/>
      </w:pPr>
      <w:r>
        <w:rPr>
          <w:b/>
        </w:rPr>
        <w:t>Datum:</w:t>
      </w:r>
      <w:r>
        <w:t xml:space="preserve"> 10.–20. Dezember 2025</w:t>
      </w:r>
    </w:p>
    <w:p>
      <w:pPr>
        <w:jc w:val="left"/>
      </w:pPr>
      <w:r>
        <w:rPr>
          <w:b/>
        </w:rPr>
        <w:t>Bearbeiter:</w:t>
      </w:r>
      <w:r>
        <w:t xml:space="preserve"> RA Prof. Dr. Felix Mannfeldt, RA Dr. Saskia Altenkamp</w:t>
      </w:r>
    </w:p>
    <w:p>
      <w:pPr>
        <w:jc w:val="left"/>
      </w:pPr>
      <w:r>
        <w:rPr>
          <w:b/>
        </w:rPr>
        <w:t>Gegenpartei-Berater:</w:t>
      </w:r>
      <w:r>
        <w:t xml:space="preserve"> Hecker, Bohn &amp; Noll (Muenchen) für FraktoMedis SE</w:t>
      </w:r>
    </w:p>
    <w:p/>
    <w:p>
      <w:pPr>
        <w:pStyle w:val="Heading2"/>
      </w:pPr>
      <w:r>
        <w:rPr>
          <w:rFonts w:ascii="Times New Roman" w:hAnsi="Times New Roman"/>
        </w:rPr>
        <w:t>1. Ausgangslage</w:t>
      </w:r>
    </w:p>
    <w:p>
      <w:pPr>
        <w:jc w:val="left"/>
      </w:pPr>
      <w:r>
        <w:t>Im Rahmen der SPA-Verhandlungen bestand zwischen den Parteien ein zentraler Streit über den Kaufpreismechanismus. Dieser Streit betrifft die Allokation des Risikos der wirtschaftlichen Entwicklung des Zielunternehmens zwischen dem Signing-Datum und dem Closing-Datum.</w:t>
      </w:r>
    </w:p>
    <w:p>
      <w:pPr>
        <w:pStyle w:val="Heading2"/>
      </w:pPr>
      <w:r>
        <w:rPr>
          <w:rFonts w:ascii="Times New Roman" w:hAnsi="Times New Roman"/>
        </w:rPr>
        <w:t>2. Locked-Box-Mechanismus (Präferenz VENERA)</w:t>
      </w:r>
    </w:p>
    <w:p>
      <w:pPr>
        <w:pStyle w:val="Heading3"/>
      </w:pPr>
      <w:r>
        <w:rPr>
          <w:rFonts w:ascii="Times New Roman" w:hAnsi="Times New Roman"/>
        </w:rPr>
        <w:t>Merkmale</w:t>
      </w:r>
    </w:p>
    <w:p>
      <w:pPr>
        <w:jc w:val="left"/>
      </w:pPr>
      <w:r>
        <w:t>Beim Locked-Box-Mechanismus wird der Kaufpreis auf Basis einer Referenzbilanz zu einem festgelegten Stichtag (hier: 30. September 2025) ermittelt und später grundsätzlich nicht mehr angepasst. Ab dem Locked-Box-Datum trägt der Käufer wirtschaftlich das Ergebnis des Unternehmens.</w:t>
      </w:r>
    </w:p>
    <w:p>
      <w:pPr>
        <w:pStyle w:val="Heading3"/>
      </w:pPr>
      <w:r>
        <w:rPr>
          <w:rFonts w:ascii="Times New Roman" w:hAnsi="Times New Roman"/>
        </w:rPr>
        <w:t>Vorteile für VENERA</w:t>
      </w:r>
    </w:p>
    <w:p>
      <w:pPr>
        <w:pStyle w:val="ListBullet"/>
      </w:pPr>
      <w:r>
        <w:t>Klarheit und Sicherheit über den endgültigen Kaufpreis</w:t>
      </w:r>
    </w:p>
    <w:p>
      <w:pPr>
        <w:pStyle w:val="ListBullet"/>
      </w:pPr>
      <w:r>
        <w:t>Kein langwieriger Closing-Accounts-Streit post-Closing</w:t>
      </w:r>
    </w:p>
    <w:p>
      <w:pPr>
        <w:pStyle w:val="ListBullet"/>
      </w:pPr>
      <w:r>
        <w:t>International (v.a. UK-Praxis) bewahrt</w:t>
      </w:r>
    </w:p>
    <w:p>
      <w:pPr>
        <w:pStyle w:val="Heading3"/>
      </w:pPr>
      <w:r>
        <w:rPr>
          <w:rFonts w:ascii="Times New Roman" w:hAnsi="Times New Roman"/>
        </w:rPr>
        <w:t>Risiken</w:t>
      </w:r>
    </w:p>
    <w:p>
      <w:pPr>
        <w:pStyle w:val="ListBullet"/>
      </w:pPr>
      <w:r>
        <w:t>Leakage-Risiko: Verkäufer entzieht dem Geschäftsbereich bis Closing Vermögenswerte (Dividenden, Gewinntransfers, Management Fees). VENERA bestand auf engem Permitted-Leakage-Katalog.</w:t>
      </w:r>
    </w:p>
    <w:p>
      <w:pPr>
        <w:pStyle w:val="Heading3"/>
      </w:pPr>
      <w:r>
        <w:rPr>
          <w:rFonts w:ascii="Times New Roman" w:hAnsi="Times New Roman"/>
        </w:rPr>
        <w:t>Permitted Leakage (vereinbart)</w:t>
      </w:r>
    </w:p>
    <w:p>
      <w:pPr>
        <w:pStyle w:val="ListBullet"/>
      </w:pPr>
      <w:r>
        <w:t>Laufende Gehalter und vertragsgemäße Vergütungen</w:t>
      </w:r>
    </w:p>
    <w:p>
      <w:pPr>
        <w:pStyle w:val="ListBullet"/>
      </w:pPr>
      <w:r>
        <w:t>Steuern im gewöhnlichen Geschäftsbetrieb</w:t>
      </w:r>
    </w:p>
    <w:p>
      <w:pPr>
        <w:pStyle w:val="ListBullet"/>
      </w:pPr>
      <w:r>
        <w:t>Weiterberechnung konzerninterner Dienstleistungen zu fremdublichen Preisen</w:t>
      </w:r>
    </w:p>
    <w:p>
      <w:pPr>
        <w:pStyle w:val="Heading2"/>
      </w:pPr>
      <w:r>
        <w:rPr>
          <w:rFonts w:ascii="Times New Roman" w:hAnsi="Times New Roman"/>
        </w:rPr>
        <w:t>3. Closing-Accounts-Mechanismus (Präferenz FraktoMedis SE)</w:t>
      </w:r>
    </w:p>
    <w:p>
      <w:pPr>
        <w:pStyle w:val="Heading3"/>
      </w:pPr>
      <w:r>
        <w:rPr>
          <w:rFonts w:ascii="Times New Roman" w:hAnsi="Times New Roman"/>
        </w:rPr>
        <w:t>Merkmale</w:t>
      </w:r>
    </w:p>
    <w:p>
      <w:pPr>
        <w:jc w:val="left"/>
      </w:pPr>
      <w:r>
        <w:t>Beim Closing-Accounts-Mechanismus wird ein vorläufiger Kaufpreis vereinbart und nach Erstellung von Closing-Abschlüssen (nach IFRS oder HGB) angepasst. Grundlage ist ein Net Working Capital (NWC)-Zielwert sowie ggf. Nettoverschuldung und Cash-Anpassungen.</w:t>
      </w:r>
    </w:p>
    <w:p>
      <w:pPr>
        <w:pStyle w:val="Heading3"/>
      </w:pPr>
      <w:r>
        <w:rPr>
          <w:rFonts w:ascii="Times New Roman" w:hAnsi="Times New Roman"/>
        </w:rPr>
        <w:t>Argumentation FraktoMedis SE</w:t>
      </w:r>
    </w:p>
    <w:p>
      <w:pPr>
        <w:jc w:val="left"/>
      </w:pPr>
      <w:r>
        <w:t>Dr. Schwarzbeck bestand auf Closing-Accounts mit Verweis auf die laufende Restrukturierung, die eine Bewertung auf Basis einer neun Monate alten Referenzbilanz als unfair erscheinen lasse.</w:t>
      </w:r>
    </w:p>
    <w:p>
      <w:pPr>
        <w:pStyle w:val="Heading2"/>
      </w:pPr>
      <w:r>
        <w:rPr>
          <w:rFonts w:ascii="Times New Roman" w:hAnsi="Times New Roman"/>
        </w:rPr>
        <w:t>4. Net Working Capital (NWC) — Streitpunkte</w:t>
      </w:r>
    </w:p>
    <w:p>
      <w:pPr>
        <w:jc w:val="left"/>
      </w:pPr>
      <w:r>
        <w:rPr>
          <w:b/>
        </w:rPr>
        <w:t>Streitpunkt NWC-01:</w:t>
      </w:r>
      <w:r>
        <w:t xml:space="preserve"> VENERA verlangte Bereinigung des NWC um atypiische Positionen (aufgeblahte Vorräte aus Vorbereitungsmaßnahmen des Managements).</w:t>
      </w:r>
    </w:p>
    <w:p>
      <w:pPr>
        <w:jc w:val="left"/>
      </w:pPr>
      <w:r>
        <w:rPr>
          <w:b/>
        </w:rPr>
        <w:t>Streitpunkt NWC-02:</w:t>
      </w:r>
      <w:r>
        <w:t xml:space="preserve"> FraktoMedis wollte Pensionsrückstellungen (§ 249 HGB) aus dem NWC heraushalten; VENERA bestand auf Einbeziehung.</w:t>
      </w:r>
    </w:p>
    <w:p>
      <w:pPr>
        <w:jc w:val="left"/>
      </w:pPr>
      <w:r>
        <w:rPr>
          <w:b/>
        </w:rPr>
        <w:t>Streitpunkt NWC-03:</w:t>
      </w:r>
      <w:r>
        <w:t xml:space="preserve"> Definition des Ziel-NWC: FraktoMedis schlug 12-Monats-Durchschnitt vor; VENERA präferierte 18-Monats-Durchschnitt (gunstiger für VENERA aufgrund saisonaler Schwankungen).</w:t>
      </w:r>
    </w:p>
    <w:p>
      <w:pPr>
        <w:pStyle w:val="Heading2"/>
      </w:pPr>
      <w:r>
        <w:rPr>
          <w:rFonts w:ascii="Times New Roman" w:hAnsi="Times New Roman"/>
        </w:rPr>
        <w:t>5. Verhandlungsergebnis (vorläufig)</w:t>
      </w:r>
    </w:p>
    <w:p>
      <w:pPr>
        <w:jc w:val="left"/>
      </w:pPr>
      <w:r>
        <w:t>Nach intensiven Verhandlungen wurde ein Hybridmodell vereinbart:</w:t>
      </w:r>
    </w:p>
    <w:p>
      <w:pPr>
        <w:pStyle w:val="ListBullet"/>
      </w:pPr>
      <w:r>
        <w:t>Kaufpreisbasis: Locked-Box (Referenzbilanz 30. September 2025)</w:t>
      </w:r>
    </w:p>
    <w:p>
      <w:pPr>
        <w:pStyle w:val="ListBullet"/>
      </w:pPr>
      <w:r>
        <w:t>Zusätzliche NWC-Anpassung: Nur bei Abweichung um mehr als 1 Mio. EUR vom NWC-Zielwert (Closing-Accounts light)</w:t>
      </w:r>
    </w:p>
    <w:p>
      <w:pPr>
        <w:pStyle w:val="ListBullet"/>
      </w:pPr>
      <w:r>
        <w:t>Leakage-Perimeter: Enger Katalog, unabhängig gepruft durch KPMG Frankfurt</w:t>
      </w:r>
    </w:p>
    <w:p>
      <w:pPr>
        <w:pStyle w:val="Heading2"/>
      </w:pPr>
      <w:r>
        <w:rPr>
          <w:rFonts w:ascii="Times New Roman" w:hAnsi="Times New Roman"/>
        </w:rPr>
        <w:t>6. Carve-Out-Regelungen</w:t>
      </w:r>
    </w:p>
    <w:p>
      <w:pPr>
        <w:jc w:val="left"/>
      </w:pPr>
      <w:r>
        <w:t>Der Carve-Out betrifft die rechtliche und buchhalterische Trennung des Geschäftsbereichs von der FraktoMedis SE-Holding. Streitpunkte:</w:t>
      </w:r>
    </w:p>
    <w:p>
      <w:pPr>
        <w:pStyle w:val="ListBullet"/>
      </w:pPr>
      <w:r>
        <w:t>Konzernumlagen ab Locked-Box-Datum: Nur noch fremdubliche Beträge erlaubt</w:t>
      </w:r>
    </w:p>
    <w:p>
      <w:pPr>
        <w:pStyle w:val="ListBullet"/>
      </w:pPr>
      <w:r>
        <w:t>IT-Separation: FraktoMedis SE und VENERA teilen bis Closing SAP-System (Transition Services Agreement erforderlich)</w:t>
      </w:r>
    </w:p>
    <w:p>
      <w:pPr>
        <w:pStyle w:val="ListBullet"/>
      </w:pPr>
      <w:r>
        <w:t>Bankkonten: Separate Konten für den Geschäftsbereich bis Closing zu eröffnen</w:t>
      </w:r>
    </w:p>
    <w:p/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dejure.org — § 249 HGB</w:t>
      </w:r>
    </w:p>
    <w:p>
      <w:pPr>
        <w:pStyle w:val="ListBullet"/>
      </w:pPr>
      <w:r>
        <w:t>bundesgerichtshof.de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FraktoMedis SE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FraktoMedis SE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Bohn &amp; Noll (Muenchen) für FraktoMedis 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