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W&amp;I-Versicherung: AIG vs. Liberty Mutual</w:t>
      </w:r>
    </w:p>
    <w:p>
      <w:pPr>
        <w:jc w:val="left"/>
      </w:pPr>
      <w:r>
        <w:rPr>
          <w:b/>
        </w:rPr>
        <w:t>Datum:</w:t>
      </w:r>
      <w:r>
        <w:t xml:space="preserve"> 12.–30. Januar 2026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Mannfeldt; Broker: Marsh GmbH Frankfurt</w:t>
      </w:r>
    </w:p>
    <w:p>
      <w:pPr>
        <w:jc w:val="left"/>
      </w:pPr>
      <w:r>
        <w:rPr>
          <w:b/>
        </w:rPr>
        <w:t>Versicherer-Anfragen:</w:t>
      </w:r>
      <w:r>
        <w:t xml:space="preserve"> AIG Europe S.A. (Frankfurt), Liberty Mutual Insurance Europe SE (Hamburg)</w:t>
      </w:r>
    </w:p>
    <w:p/>
    <w:p>
      <w:pPr>
        <w:pStyle w:val="Heading2"/>
      </w:pPr>
      <w:r>
        <w:rPr>
          <w:rFonts w:ascii="Times New Roman" w:hAnsi="Times New Roman"/>
        </w:rPr>
        <w:t>1. Zweck der W&amp;I-Versicherung</w:t>
      </w:r>
    </w:p>
    <w:p>
      <w:pPr>
        <w:jc w:val="left"/>
      </w:pPr>
      <w:r>
        <w:t>Warranty &amp; Indemnity (W&amp;I)-Versicherungen decken das Risiko ab, dass Garantien des Verkaefers im Rahmen des APA nicht zutreffen und dem Käufer dadurch ein Schaden entsteht. Sie ermoglichen eine "clean exit"-Transaktion und reduzieren den Druck auf die Verkäufer-Haftung.</w:t>
      </w:r>
    </w:p>
    <w:p>
      <w:pPr>
        <w:pStyle w:val="Heading2"/>
      </w:pPr>
      <w:r>
        <w:rPr>
          <w:rFonts w:ascii="Times New Roman" w:hAnsi="Times New Roman"/>
        </w:rPr>
        <w:t>2. Versicherungsparameter (Anforderungen VENERA)</w:t>
      </w:r>
    </w:p>
    <w:p>
      <w:pPr>
        <w:pStyle w:val="ListBullet"/>
      </w:pPr>
      <w:r>
        <w:t>Versicherungssumme (Limit): Mindestens 25% des Enterprise Value = 14,5 Mio. EUR</w:t>
      </w:r>
    </w:p>
    <w:p>
      <w:pPr>
        <w:pStyle w:val="ListBullet"/>
      </w:pPr>
      <w:r>
        <w:t>Self-Insured Retention (SIR): 1% des Enterprise Value = 580.000 EUR</w:t>
      </w:r>
    </w:p>
    <w:p>
      <w:pPr>
        <w:pStyle w:val="ListBullet"/>
      </w:pPr>
      <w:r>
        <w:t>Deckung: Allgemeine Garantien (Buy-Side Policy)</w:t>
      </w:r>
    </w:p>
    <w:p>
      <w:pPr>
        <w:pStyle w:val="ListBullet"/>
      </w:pPr>
      <w:r>
        <w:t>Laufzeit: 7 Jahre für allgemeine Garantien; 10 Jahre für Steuergarantien</w:t>
      </w:r>
    </w:p>
    <w:p>
      <w:pPr>
        <w:pStyle w:val="ListBullet"/>
      </w:pPr>
      <w:r>
        <w:t>Ausschlüsse: Bekannte Risiken (laut Disclosure Schedule), Gewinnerwartungen, forward-looking statements</w:t>
      </w:r>
    </w:p>
    <w:p>
      <w:pPr>
        <w:pStyle w:val="Heading2"/>
      </w:pPr>
      <w:r>
        <w:rPr>
          <w:rFonts w:ascii="Times New Roman" w:hAnsi="Times New Roman"/>
        </w:rPr>
        <w:t>3. Angebote und Vergleich</w:t>
      </w:r>
    </w:p>
    <w:p>
      <w:pPr>
        <w:pStyle w:val="Heading3"/>
      </w:pPr>
      <w:r>
        <w:rPr>
          <w:rFonts w:ascii="Times New Roman" w:hAnsi="Times New Roman"/>
        </w:rPr>
        <w:t>3.1 AIG Europe S.A.</w:t>
      </w:r>
    </w:p>
    <w:p>
      <w:pPr>
        <w:pStyle w:val="ListBullet"/>
      </w:pPr>
      <w:r>
        <w:t>Primaerpraemie: 1,05% der Versicherungssumme (ca. 152.250 EUR/Jahr)</w:t>
      </w:r>
    </w:p>
    <w:p>
      <w:pPr>
        <w:pStyle w:val="ListBullet"/>
      </w:pPr>
      <w:r>
        <w:t>SIR: Akzeptiert 1% EV (580.000 EUR)</w:t>
      </w:r>
    </w:p>
    <w:p>
      <w:pPr>
        <w:pStyle w:val="ListBullet"/>
      </w:pPr>
      <w:r>
        <w:t>Ausschluessel: FCPA/DOJ Subpoena, Korruption Lateinamerika, Patentnichtigkeitsklage</w:t>
      </w:r>
    </w:p>
    <w:p>
      <w:pPr>
        <w:pStyle w:val="ListBullet"/>
      </w:pPr>
      <w:r>
        <w:t>Underwriting-Prozess: 3 Wochen</w:t>
      </w:r>
    </w:p>
    <w:p>
      <w:pPr>
        <w:pStyle w:val="ListBullet"/>
      </w:pPr>
      <w:r>
        <w:t>Rating: A+ (S&amp;P)</w:t>
      </w:r>
    </w:p>
    <w:p>
      <w:pPr>
        <w:pStyle w:val="Heading3"/>
      </w:pPr>
      <w:r>
        <w:rPr>
          <w:rFonts w:ascii="Times New Roman" w:hAnsi="Times New Roman"/>
        </w:rPr>
        <w:t>3.2 Liberty Mutual Insurance Europe SE</w:t>
      </w:r>
    </w:p>
    <w:p>
      <w:pPr>
        <w:pStyle w:val="ListBullet"/>
      </w:pPr>
      <w:r>
        <w:t>Primaerpraemie: 0,92% (ca. 133.400 EUR/Jahr)</w:t>
      </w:r>
    </w:p>
    <w:p>
      <w:pPr>
        <w:pStyle w:val="ListBullet"/>
      </w:pPr>
      <w:r>
        <w:t>SIR: Mindest-SIR 1,5% EV (870.000 EUR) — über VENERA-Anforderungen</w:t>
      </w:r>
    </w:p>
    <w:p>
      <w:pPr>
        <w:pStyle w:val="ListBullet"/>
      </w:pPr>
      <w:r>
        <w:t>Ausschlüsse: Analog AIG; zusätzlich allgemeiner COVID-Ausschluss (relevant für 2020/2021 Sachverhalte)</w:t>
      </w:r>
    </w:p>
    <w:p>
      <w:pPr>
        <w:pStyle w:val="ListBullet"/>
      </w:pPr>
      <w:r>
        <w:t>Underwriting-Prozess: 4 Wochen</w:t>
      </w:r>
    </w:p>
    <w:p>
      <w:pPr>
        <w:pStyle w:val="ListBullet"/>
      </w:pPr>
      <w:r>
        <w:t>Rating: A- (S&amp;P)</w:t>
      </w:r>
    </w:p>
    <w:p>
      <w:pPr>
        <w:pStyle w:val="Heading2"/>
      </w:pPr>
      <w:r>
        <w:rPr>
          <w:rFonts w:ascii="Times New Roman" w:hAnsi="Times New Roman"/>
        </w:rPr>
        <w:t>4. Bewertung und Empfehlung</w:t>
      </w:r>
    </w:p>
    <w:p>
      <w:pPr>
        <w:jc w:val="left"/>
      </w:pPr>
      <w:r>
        <w:t>Das LDD-Team empfiehlt die AIG-Police trotz höherem Praemienniveau aufgrund:</w:t>
      </w:r>
    </w:p>
    <w:p>
      <w:pPr>
        <w:pStyle w:val="ListBullet"/>
      </w:pPr>
      <w:r>
        <w:t>Akzeptierter SIR von 580.000 EUR (entspricht VENERA-Anforderungen)</w:t>
      </w:r>
    </w:p>
    <w:p>
      <w:pPr>
        <w:pStyle w:val="ListBullet"/>
      </w:pPr>
      <w:r>
        <w:t>Bessere Bonität (A+ vs. A-)</w:t>
      </w:r>
    </w:p>
    <w:p>
      <w:pPr>
        <w:pStyle w:val="ListBullet"/>
      </w:pPr>
      <w:r>
        <w:t>Kürzerer Underwriting-Zeitplan (passt zum Signing-Zeitplan)</w:t>
      </w:r>
    </w:p>
    <w:p>
      <w:pPr>
        <w:jc w:val="left"/>
      </w:pPr>
      <w:r>
        <w:rPr>
          <w:b/>
        </w:rPr>
        <w:t>Verhandlungsempfehlung:</w:t>
      </w:r>
      <w:r>
        <w:t xml:space="preserve"> VENERA sollte mit AIG über eine Erhöhung der Versicherungssumme auf 18 Mio. EUR (30% EV) verhandeln; Aufpreis geschätzt ca. 40.000 EUR/Jahr.</w:t>
      </w:r>
    </w:p>
    <w:p>
      <w:pPr>
        <w:pStyle w:val="Heading2"/>
      </w:pPr>
      <w:r>
        <w:rPr>
          <w:rFonts w:ascii="Times New Roman" w:hAnsi="Times New Roman"/>
        </w:rPr>
        <w:t>5. Nicht versicherte Risiken</w:t>
      </w:r>
    </w:p>
    <w:p>
      <w:pPr>
        <w:jc w:val="left"/>
      </w:pPr>
      <w:r>
        <w:t>Folgende Risiken bleiben unversichert und sind durch vertragliche Indemnities abzudecken:</w:t>
      </w:r>
    </w:p>
    <w:p>
      <w:pPr>
        <w:pStyle w:val="ListBullet"/>
      </w:pPr>
      <w:r>
        <w:t>FCPA/DOJ-Subpoena (FraktoMedis Inc.)</w:t>
      </w:r>
    </w:p>
    <w:p>
      <w:pPr>
        <w:pStyle w:val="ListBullet"/>
      </w:pPr>
      <w:r>
        <w:t>Korruption Lateinamerika 2022</w:t>
      </w:r>
    </w:p>
    <w:p>
      <w:pPr>
        <w:pStyle w:val="ListBullet"/>
      </w:pPr>
      <w:r>
        <w:t>Patentnichtigkeitsklage EP 3 847 112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443 BGB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Marsh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Marsh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