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Übersicht Erstanfragen Q2/2026 — Kanzlei Roosendaal &amp; Tannenfels</w:t>
      </w:r>
    </w:p>
    <w:p>
      <w:pPr>
        <w:jc w:val="left"/>
      </w:pPr>
      <w:r>
        <w:t>Kanzlei: Roosendaal &amp; Tannenfels Rechtsanwälte PartmbB</w:t>
      </w:r>
    </w:p>
    <w:p>
      <w:pPr>
        <w:jc w:val="left"/>
      </w:pPr>
      <w:r>
        <w:t>Breite Straße 74, 50667 Köln</w:t>
      </w:r>
    </w:p>
    <w:p>
      <w:pPr>
        <w:jc w:val="left"/>
      </w:pPr>
      <w:r>
        <w:t>Tel.: 0221 / 487 32 10 · Fax: 0221 / 487 32 19</w:t>
      </w:r>
    </w:p>
    <w:p>
      <w:pPr>
        <w:jc w:val="left"/>
      </w:pPr>
      <w:r>
        <w:t>kanzlei@roosendaal-tannenfels.de</w:t>
      </w:r>
    </w:p>
    <w:p>
      <w:pPr>
        <w:jc w:val="left"/>
      </w:pPr>
      <w:r>
        <w:t>Berichtszeitraum: 01.04.2026 – 30.06.2026 (Q2/2026)</w:t>
      </w:r>
    </w:p>
    <w:p>
      <w:pPr>
        <w:jc w:val="left"/>
      </w:pPr>
      <w:r>
        <w:t>Erstellt: 02.07.2026 | Verantwortlich: RAin Eve Pohlmann (Triage-Koordination)</w:t>
      </w:r>
    </w:p>
    <w:p/>
    <w:p>
      <w:pPr>
        <w:pStyle w:val="Heading2"/>
      </w:pPr>
      <w:r>
        <w:rPr>
          <w:rFonts w:ascii="Times New Roman" w:hAnsi="Times New Roman"/>
        </w:rPr>
        <w:t>Zusammenfassung</w:t>
      </w:r>
    </w:p>
    <w:p>
      <w:pPr>
        <w:jc w:val="left"/>
      </w:pPr>
      <w:r>
        <w:t>Im zweiten Quartal 2026 gingen bei der Kanzlei Roosendaal &amp; Tannenfels insgesamt 8 Erstanfragen ein, die im Rahmen des strukturierten Aufnahmeprozesses vollständig gesichtet, auf Interessenkollisionen geprüft und einer Entscheidung zugeführt wurden. Von 8 Anfragen wurden 4 in ein reguläres Mandat überführt, 2 abgelehnt (davon 1 wegen Konflikt, 1 wegen Wirtschaftlichkeit), 1 an eine Fachkanzlei weitergeleitet und 1 zunächst angenommen, nach Konfliktfeststellung jedoch abgelehnt.</w:t>
      </w:r>
    </w:p>
    <w:p>
      <w:pPr>
        <w:pStyle w:val="Heading2"/>
      </w:pPr>
      <w:r>
        <w:rPr>
          <w:rFonts w:ascii="Times New Roman" w:hAnsi="Times New Roman"/>
        </w:rPr>
        <w:t>Übersichtstabelle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Kanal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Sachbearbeiter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Andreas Körber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Arbeitsrecht (Kündigung)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Webformular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Mandat erteilt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Tannenfels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Bianca Feldkamp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Mietrecht (Mietminderung)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Abgelehnt — Konflikt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Pohlmann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Margarethe Pellbach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Erbrecht (Erbstreit)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Empfehlung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Mandat erteilt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Vellbruck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Günter Hagenbroich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Verkehrsrecht (Unfall)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Kanzleischild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Abgelehnt — Streitwert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Gehrmann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Karl-Heinz Schwarzbach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Baurecht (Nachbar)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Webformular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Mandat erteilt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Orbach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Tannenmoor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IT-Recht/AGB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Webformular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Mandat erteilt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RAin Orbach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Petra Merkel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Gesellschaftsrecht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Empfehlung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Abgelehnt — Konflikt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RT-2026-Q2-0319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Helmut Trambach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Arzthaftung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Webformular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Weitergeleitet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Vellbruck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Eingangskanäle Q2/2026</w:t>
      </w:r>
    </w:p>
    <w:p>
      <w:pPr>
        <w:pStyle w:val="ListBullet"/>
      </w:pPr>
      <w:r>
        <w:t>Webformular (kanzlei-website): 4 Anfragen (50 %)</w:t>
      </w:r>
    </w:p>
    <w:p>
      <w:pPr>
        <w:pStyle w:val="ListBullet"/>
      </w:pPr>
      <w:r>
        <w:t>Telefon: 1 Anfrage (12,5 %)</w:t>
      </w:r>
    </w:p>
    <w:p>
      <w:pPr>
        <w:pStyle w:val="ListBullet"/>
      </w:pPr>
      <w:r>
        <w:t>Empfehlung durch Bestandsmandanten: 2 Anfragen (25 %)</w:t>
      </w:r>
    </w:p>
    <w:p>
      <w:pPr>
        <w:pStyle w:val="ListBullet"/>
      </w:pPr>
      <w:r>
        <w:t>Kanzleischild / Walk-in: 1 Anfrage (12,5 %)</w:t>
      </w:r>
    </w:p>
    <w:p>
      <w:pPr>
        <w:pStyle w:val="Heading2"/>
      </w:pPr>
      <w:r>
        <w:rPr>
          <w:rFonts w:ascii="Times New Roman" w:hAnsi="Times New Roman"/>
        </w:rPr>
        <w:t>Ergebnisquoten</w:t>
      </w:r>
    </w:p>
    <w:p>
      <w:pPr>
        <w:pStyle w:val="ListBullet"/>
      </w:pPr>
      <w:r>
        <w:t>Mandat erteilt: 4 von 8 (50 %)</w:t>
      </w:r>
    </w:p>
    <w:p>
      <w:pPr>
        <w:pStyle w:val="ListBullet"/>
      </w:pPr>
      <w:r>
        <w:t>Abgelehnt gesamt: 3 von 8 (37,5 %)</w:t>
      </w:r>
    </w:p>
    <w:p>
      <w:pPr>
        <w:pStyle w:val="ListBullet"/>
      </w:pPr>
      <w:r>
        <w:t>davon Interessenkollision: 2</w:t>
      </w:r>
    </w:p>
    <w:p>
      <w:pPr>
        <w:pStyle w:val="ListBullet"/>
      </w:pPr>
      <w:r>
        <w:t>davon wirtschaftliche Gründe: 1</w:t>
      </w:r>
    </w:p>
    <w:p>
      <w:pPr>
        <w:pStyle w:val="ListBullet"/>
      </w:pPr>
      <w:r>
        <w:t>Weitergeleitet: 1 von 8 (12,5 %)</w:t>
      </w:r>
    </w:p>
    <w:p>
      <w:pPr>
        <w:pStyle w:val="Heading2"/>
      </w:pPr>
      <w:r>
        <w:rPr>
          <w:rFonts w:ascii="Times New Roman" w:hAnsi="Times New Roman"/>
        </w:rPr>
        <w:t>Besondere Vorgänge Q2</w:t>
      </w:r>
    </w:p>
    <w:p>
      <w:pPr>
        <w:pStyle w:val="ListNumber"/>
      </w:pPr>
      <w:r>
        <w:t>Anfrage-02 (Feldkamp): Konflikt mit Bestandsmandantin Klausberg — sofortige Ablehnung, Hinweis auf alternative Kanzlei. BORA § 3 Abs. 1 einschlägig.</w:t>
      </w:r>
    </w:p>
    <w:p>
      <w:pPr>
        <w:pStyle w:val="ListNumber"/>
      </w:pPr>
      <w:r>
        <w:t>Anfrage-04 (Hagenbroich): Streitwert ca. 800 EUR (Hagelschaden am Fahrrad); keine Kostensicherheit; Verweis auf Beratungshilfeschein nach § 1 BerHG.</w:t>
      </w:r>
    </w:p>
    <w:p>
      <w:pPr>
        <w:pStyle w:val="ListNumber"/>
      </w:pPr>
      <w:r>
        <w:t>Anfrage-07 (Merkel/Köhn): Mandatsbestätigung wurde zunächst versandt; nach Akteneinsicht Feststellung: Mitgesellschafter Köhn ist Mandant Dr. Roosendaal. Widerruf der Bestätigung, schriftliche Ablehnung.</w:t>
      </w:r>
    </w:p>
    <w:p>
      <w:pPr>
        <w:pStyle w:val="ListNumber"/>
      </w:pPr>
      <w:r>
        <w:t>Anfrage-08 (Trambach): Arzthaftungssache; kein Fachanwalt für Medizinrecht in der Kanzlei; Weiterleitung an Fachkanzlei Meinhardt &amp; Partner, Düsseldorf.</w:t>
      </w:r>
    </w:p>
    <w:p>
      <w:pPr>
        <w:pStyle w:val="ListNumber"/>
      </w:pPr>
      <w:r>
        <w:t>DSGVO-Problem Webformular: Datenschutzbeauftragte RAin Orbach festgestellt, dass im Kontaktformular keine informierte Einwilligung nach Art. 6 Abs. 1 lit. a DSGVO eingeholt wird; interne Maßnahme initiiert.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Bullet"/>
      </w:pPr>
      <w:r>
        <w:t>Webformular bis 15.07.2026 auf DSGVO-konformen Stand bringen (RAin Orbach/IT)</w:t>
      </w:r>
    </w:p>
    <w:p>
      <w:pPr>
        <w:pStyle w:val="ListBullet"/>
      </w:pPr>
      <w:r>
        <w:t>Standardisierte Konfliktcheck-Liste in Kanzleisoftware (Advoware) bis 01.08.2026</w:t>
      </w:r>
    </w:p>
    <w:p>
      <w:pPr>
        <w:pStyle w:val="ListBullet"/>
      </w:pPr>
      <w:r>
        <w:t>Quartalsmeeting Mandatsaufnahme: 08.07.2026, 09:00 Uhr, Konferenzraum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