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Anfrage-07: Gesellschafterstreit — Dr. Petra Merkel / Köhn</w:t>
      </w:r>
    </w:p>
    <w:p>
      <w:pPr>
        <w:jc w:val="left"/>
      </w:pPr>
      <w:r>
        <w:t>Aktenzeichen: RT-2026-Q2-0318</w:t>
      </w:r>
    </w:p>
    <w:p>
      <w:pPr>
        <w:jc w:val="left"/>
      </w:pPr>
      <w:r>
        <w:t>Eingang: 02.06.2026 (Empfehlung durch Steuerberaterin Frau Irene Huttrop)</w:t>
      </w:r>
    </w:p>
    <w:p>
      <w:pPr>
        <w:jc w:val="left"/>
      </w:pPr>
      <w:r>
        <w:t>Sachbearbeiter: Dr. Falk Roosendaal</w:t>
      </w:r>
    </w:p>
    <w:p>
      <w:pPr>
        <w:jc w:val="left"/>
      </w:pPr>
      <w:r>
        <w:t>Status: ABGELEHNT — Interessenkollision / Mandatsrücknahme nach Erstberatung</w:t>
      </w:r>
    </w:p>
    <w:p/>
    <w:p>
      <w:pPr>
        <w:pStyle w:val="Heading2"/>
      </w:pPr>
      <w:r>
        <w:rPr>
          <w:rFonts w:ascii="Times New Roman" w:hAnsi="Times New Roman"/>
        </w:rPr>
        <w:t>Mandantendaten</w:t>
      </w:r>
    </w:p>
    <w:p>
      <w:pPr>
        <w:jc w:val="left"/>
      </w:pPr>
      <w:r>
        <w:t>Name: Dr. Petra Merkel</w:t>
      </w:r>
    </w:p>
    <w:p>
      <w:pPr>
        <w:jc w:val="left"/>
      </w:pPr>
      <w:r>
        <w:t>geb.: 17.07.1971</w:t>
      </w:r>
    </w:p>
    <w:p>
      <w:pPr>
        <w:jc w:val="left"/>
      </w:pPr>
      <w:r>
        <w:t>Anschrift: Rolandstraße 52, 53179 Bonn</w:t>
      </w:r>
    </w:p>
    <w:p>
      <w:pPr>
        <w:jc w:val="left"/>
      </w:pPr>
      <w:r>
        <w:t>Tel.: 0228 / 63 41 09</w:t>
      </w:r>
    </w:p>
    <w:p>
      <w:pPr>
        <w:jc w:val="left"/>
      </w:pPr>
      <w:r>
        <w:t>E-Mail: p.merkel@dr-merkel-architektur.de</w:t>
      </w:r>
    </w:p>
    <w:p>
      <w:pPr>
        <w:jc w:val="left"/>
      </w:pPr>
      <w:r>
        <w:t>Beruf: Architektin, Mitgesellschafterin Merkel &amp; Köhn Architektur GbR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Dr. Petra Merkel ist Mitgesellschafterin der Merkel &amp; Köhn Architektur GbR (GbR-Vertrag 2019; Sitz Bonn). Mitgesellschafter ist Dipl.-Ing. Robert Köhn. Die GbR betreibt ein Architekturbüro mit 12 Mitarbeitern. Zwischen Dr. Merkel und Herrn Köhn besteht seit Anfang 2026 ein Streit über:</w:t>
      </w:r>
    </w:p>
    <w:p>
      <w:pPr>
        <w:pStyle w:val="ListNumber"/>
      </w:pPr>
      <w:r>
        <w:t>Ergebnisverteilung 2025: Herr Köhn beansprucht laut GbR-Vertrag § 7 eine Sonderentnahme für ein von ihm allein akquiriertes Großprojekt (Schulneubau Rhein-Sieg-Kreis, Projektvolumen 18 Mio. EUR Bausumme); Dr. Merkel bestreitet diese Interpretation.</w:t>
      </w:r>
    </w:p>
    <w:p>
      <w:pPr>
        <w:pStyle w:val="ListNumber"/>
      </w:pPr>
      <w:r>
        <w:t>Ausscheiden: Dr. Merkel erwägt das Ausscheiden aus der GbR und möchte ihren Anteil abfinden lassen; Bewertung des Gesellschaftsanteils streitig.</w:t>
      </w:r>
    </w:p>
    <w:p>
      <w:pPr>
        <w:pStyle w:val="ListNumber"/>
      </w:pPr>
      <w:r>
        <w:t>Wettbewerbsklausel: GbR-Vertrag § 14 enthält ein nachvertragliches Wettbewerbsverbot für 2 Jahre; Dr. Merkel hält es für unwirksam (§ 723 BGB analog, fehlende Gegenleistung).</w:t>
      </w:r>
    </w:p>
    <w:p/>
    <w:p>
      <w:pPr>
        <w:pStyle w:val="Heading2"/>
      </w:pPr>
      <w:r>
        <w:rPr>
          <w:rFonts w:ascii="Times New Roman" w:hAnsi="Times New Roman"/>
        </w:rPr>
        <w:t>Konflikt-Check-Ergebnis</w:t>
      </w:r>
    </w:p>
    <w:p>
      <w:pPr>
        <w:jc w:val="left"/>
      </w:pPr>
      <w:r>
        <w:t>Erstberatung wurde — fehlerhafterweise — am 03.06.2026 ohne vollständige Konfliktprüfung begonnen. Während der Besprechung nannte Dr. Merkel den Namen des Mitgesellschafters (Dipl.-Ing. Robert Köhn). Dr. Roosendaal erkannte daraufhin, dass Herr Robert Köhn unter dem Aktenzeichen RT-2023-GS-0207 Bestandsmandant der Kanzlei ist (laufende Gesellschaftsrechtssache). Die Erstberatung wurde sofort unterbrochen.</w:t>
      </w:r>
    </w:p>
    <w:p>
      <w:pPr>
        <w:jc w:val="left"/>
      </w:pPr>
      <w:r>
        <w:t>Einschlägig: BORA § 3 Abs. 1 Nr. 1 — Verbot der Vertretung widerstreitender Interessen. BRAO § 43a Abs. 4 — Verschwiegenheitspflicht gegenüber beiden Mandanten.</w:t>
      </w:r>
    </w:p>
    <w:p/>
    <w:p>
      <w:pPr>
        <w:pStyle w:val="Heading2"/>
      </w:pPr>
      <w:r>
        <w:rPr>
          <w:rFonts w:ascii="Times New Roman" w:hAnsi="Times New Roman"/>
        </w:rPr>
        <w:t>Umgang mit dem Fehler</w:t>
      </w:r>
    </w:p>
    <w:p>
      <w:pPr>
        <w:jc w:val="left"/>
      </w:pPr>
      <w:r>
        <w:t>Internes Protokoll (Dr. Roosendaal, 03.06.2026):</w:t>
      </w:r>
    </w:p>
    <w:p>
      <w:pPr>
        <w:jc w:val="left"/>
      </w:pPr>
      <w:r>
        <w:t>Die Mandatsbestätigung war bereits vor dem Erstgespräch versandt worden (E-Mail 02.06.2026, 17:45 Uhr — Fehler des Sekretariats). Nach Unterbrechung der Erstberatung:</w:t>
      </w:r>
    </w:p>
    <w:p>
      <w:pPr>
        <w:pStyle w:val="ListNumber"/>
      </w:pPr>
      <w:r>
        <w:t>Dr. Merkel sofort über Konflikt und Nichtfortsetzung informiert (mündlich 03.06.2026, 10:52 Uhr).</w:t>
      </w:r>
    </w:p>
    <w:p>
      <w:pPr>
        <w:pStyle w:val="ListNumber"/>
      </w:pPr>
      <w:r>
        <w:t>Schriftliche Mandatsrücknahme per E-Mail 03.06.2026, 14:30 Uhr (Entwurf in Akte 16).</w:t>
      </w:r>
    </w:p>
    <w:p>
      <w:pPr>
        <w:pStyle w:val="ListNumber"/>
      </w:pPr>
      <w:r>
        <w:t>Keine inhaltlichen Informationen aus dem Gespräch an RA-Team kommuniziert.</w:t>
      </w:r>
    </w:p>
    <w:p>
      <w:pPr>
        <w:pStyle w:val="ListNumber"/>
      </w:pPr>
      <w:r>
        <w:t>Herr Köhn (Bestandsmandant) nicht über die Anfrage informiert (Verschwiegenheitspflicht).</w:t>
      </w:r>
    </w:p>
    <w:p>
      <w:pPr>
        <w:pStyle w:val="ListNumber"/>
      </w:pPr>
      <w:r>
        <w:t>Keine Beratungsgebühr erhoben (ca. 10 Minuten Gespräch; kein abrechenbarer Inhalt).</w:t>
      </w:r>
    </w:p>
    <w:p/>
    <w:p>
      <w:pPr>
        <w:pStyle w:val="Heading2"/>
      </w:pPr>
      <w:r>
        <w:rPr>
          <w:rFonts w:ascii="Times New Roman" w:hAnsi="Times New Roman"/>
        </w:rPr>
        <w:t>Empfehlung für Dr. Merkel</w:t>
      </w:r>
    </w:p>
    <w:p>
      <w:pPr>
        <w:jc w:val="left"/>
      </w:pPr>
      <w:r>
        <w:t>Kanzlei Kreutzer &amp; Ballmann, Bonn (Spezialisierung Gesellschaftsrecht, kein Bezug zu Herrn Köhn bekannt), Tel.: 0228 / 94 50 10.</w:t>
      </w:r>
    </w:p>
    <w:p/>
    <w:p>
      <w:pPr>
        <w:pStyle w:val="Heading2"/>
      </w:pPr>
      <w:r>
        <w:rPr>
          <w:rFonts w:ascii="Times New Roman" w:hAnsi="Times New Roman"/>
        </w:rPr>
        <w:t>Interne Konsequenz</w:t>
      </w:r>
    </w:p>
    <w:p>
      <w:pPr>
        <w:jc w:val="left"/>
      </w:pPr>
      <w:r>
        <w:t>Sekretariatsanweisung: Mandatsbestätigung darf erst nach vollständigem Konfliktcheck und Freigabe durch einen RA versandt werden. Neue interne Freigabeliste ab 01.07.2026. (Vgl. auch Quartalabschlussvermerk Aktenstück 22.)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Steuerberaterin Frau Irene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STEUERBERATERIN FRAU IRENE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Aktenzeichen: RT-2026-Q2-0318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