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RVG-Gebührenberechnung — Übersicht Q2/2026</w:t>
      </w:r>
    </w:p>
    <w:p>
      <w:pPr>
        <w:jc w:val="left"/>
      </w:pPr>
      <w:r>
        <w:t>Kanzlei: Roosendaal &amp; Tannenfels Rechtsanwälte PartmbB</w:t>
      </w:r>
    </w:p>
    <w:p>
      <w:pPr>
        <w:jc w:val="left"/>
      </w:pPr>
      <w:r>
        <w:t>Verfasst: RAin Eve Pohlmann | Stand: 01.07.2026</w:t>
      </w:r>
    </w:p>
    <w:p>
      <w:pPr>
        <w:jc w:val="left"/>
      </w:pPr>
      <w:r>
        <w:t>Grundlage: RVG i.d.F. vom 05.10.2021; VV-RVG; Anlage 2 zu § 13 RVG</w:t>
      </w:r>
    </w:p>
    <w:p/>
    <w:p>
      <w:pPr>
        <w:pStyle w:val="Heading2"/>
      </w:pPr>
      <w:r>
        <w:rPr>
          <w:rFonts w:ascii="Times New Roman" w:hAnsi="Times New Roman"/>
        </w:rPr>
        <w:t>Grundprinzipien des RVG</w:t>
      </w:r>
    </w:p>
    <w:p>
      <w:pPr>
        <w:jc w:val="left"/>
      </w:pPr>
      <w:r>
        <w:t>Das Rechtsanwaltsvergütungsgesetz (RVG) regelt die gesetzliche Vergütung von Rechtsanwältinnen und Rechtsanwälten. Die Vergütung richtet sich nach dem Gegenstandswert (Streitwert) und dem einschlägigen Gebührentatbestand aus dem Vergütungsverzeichnis (VV-RVG, Anlage 1 zum RVG).</w:t>
      </w:r>
    </w:p>
    <w:p>
      <w:pPr>
        <w:jc w:val="left"/>
      </w:pPr>
      <w:r>
        <w:t>Wichtigste Vorschriften:</w:t>
      </w:r>
    </w:p>
    <w:p>
      <w:pPr>
        <w:pStyle w:val="ListBullet"/>
      </w:pPr>
      <w:r>
        <w:t>§ 13 RVG: Wertgebühren nach Anlage 2 (Tabelle A)</w:t>
      </w:r>
    </w:p>
    <w:p>
      <w:pPr>
        <w:pStyle w:val="ListBullet"/>
      </w:pPr>
      <w:r>
        <w:t>§ 14 RVG: Rahmengebühren (Ermessensspielraum 0,5 bis 2,5-facher Satz)</w:t>
      </w:r>
    </w:p>
    <w:p>
      <w:pPr>
        <w:pStyle w:val="ListBullet"/>
      </w:pPr>
      <w:r>
        <w:t>§ 34 RVG: Gebühr für Rat und Auskunft (Erstberatungsgebühr)</w:t>
      </w:r>
    </w:p>
    <w:p/>
    <w:p>
      <w:pPr>
        <w:pStyle w:val="Heading2"/>
      </w:pPr>
      <w:r>
        <w:rPr>
          <w:rFonts w:ascii="Times New Roman" w:hAnsi="Times New Roman"/>
        </w:rPr>
        <w:t>§ 34 RVG — Erstberatungsgebühr</w:t>
      </w:r>
    </w:p>
    <w:p>
      <w:pPr>
        <w:jc w:val="left"/>
      </w:pPr>
      <w:r>
        <w:t>Für eine Erstberatung oder einen allgemeinen Rat kann eine gesonderte Gebühr vereinbart werden; ohne Vereinbarung gilt eine angemessene Gebühr, höchstens jedoch 190 EUR (Verbraucher) oder Zeithonorar (Unternehmen).</w:t>
      </w:r>
    </w:p>
    <w:p>
      <w:pPr>
        <w:jc w:val="left"/>
      </w:pPr>
      <w:r>
        <w:t>Praxis in der Kanzlei RT:</w:t>
      </w:r>
    </w:p>
    <w:p>
      <w:pPr>
        <w:pStyle w:val="ListBullet"/>
      </w:pPr>
      <w:r>
        <w:t>Privatpersonen: 190 EUR netto Erstberatungsgebühr (fester Satz, schriftlich vereinbart)</w:t>
      </w:r>
    </w:p>
    <w:p>
      <w:pPr>
        <w:pStyle w:val="ListBullet"/>
      </w:pPr>
      <w:r>
        <w:t>Unternehmen: Zeithonorar ab erstem Termin, nach gesonderter Honorarvereinbarung</w:t>
      </w:r>
    </w:p>
    <w:p/>
    <w:p>
      <w:pPr>
        <w:pStyle w:val="Heading2"/>
      </w:pPr>
      <w:r>
        <w:rPr>
          <w:rFonts w:ascii="Times New Roman" w:hAnsi="Times New Roman"/>
        </w:rPr>
        <w:t>VV-RVG Nr. 2100 — Beratungsgebühr (außergerichtlich, ohne Auftrag)</w:t>
      </w:r>
    </w:p>
    <w:p>
      <w:pPr>
        <w:jc w:val="left"/>
      </w:pPr>
      <w:r>
        <w:t>Wenn der Anwalt nur beratend tätig wird ohne Auftrag zur Vertretung:</w:t>
      </w:r>
    </w:p>
    <w:p>
      <w:pPr>
        <w:jc w:val="left"/>
      </w:pPr>
      <w:r>
        <w:t>Gebühr: 1,0 nach Streitwert (Anlage 2 § 13 RVG)</w:t>
      </w:r>
    </w:p>
    <w:p/>
    <w:p>
      <w:pPr>
        <w:pStyle w:val="Heading2"/>
      </w:pPr>
      <w:r>
        <w:rPr>
          <w:rFonts w:ascii="Times New Roman" w:hAnsi="Times New Roman"/>
        </w:rPr>
        <w:t>VV-RVG Nr. 2300 — Geschäftsgebühr (außergerichtlich)</w:t>
      </w:r>
    </w:p>
    <w:p>
      <w:pPr>
        <w:jc w:val="left"/>
      </w:pPr>
      <w:r>
        <w:t>Entsteht, wenn der Anwalt für den Mandanten außergerichtlich tätig wird (Schriftwechsel, Verhandlung, Beratung mit Auftrag).</w:t>
      </w:r>
    </w:p>
    <w:p>
      <w:pPr>
        <w:jc w:val="left"/>
      </w:pPr>
      <w:r>
        <w:t>Gebührenrahmen: 0,5 bis 2,5; Regelgebühr (Mittelgebühr) 1,3.</w:t>
      </w:r>
    </w:p>
    <w:p>
      <w:pPr>
        <w:jc w:val="left"/>
      </w:pPr>
      <w:r>
        <w:t>Ermessenskriterien nach § 14 Abs. 1 RVG: Umfang, Schwierigkeit, Bedeutung, Einkommensverhältnisse des Mandanten, Haftungsrisiko des Anwalts.</w:t>
      </w:r>
    </w:p>
    <w:p>
      <w:pPr>
        <w:jc w:val="left"/>
      </w:pPr>
      <w:r>
        <w:t>Beispielrechnung Anfrage-01 (Körber, Streitwert 11.550 EUR):</w:t>
      </w:r>
    </w:p>
    <w:p>
      <w:pPr>
        <w:pStyle w:val="ListBullet"/>
      </w:pPr>
      <w:r>
        <w:t>Gebühr aus Streitwert nach Anlage 2 zu § 13 RVG (Tabellenwert bei 11.550 EUR): 729 EUR (Basis 1,0-Gebühr)</w:t>
      </w:r>
    </w:p>
    <w:p>
      <w:pPr>
        <w:pStyle w:val="ListBullet"/>
      </w:pPr>
      <w:r>
        <w:t>Geschäftsgebühr 1,3 (Nr. 2300 VV-RVG): 729 × 1,3 = 947,70 EUR</w:t>
      </w:r>
    </w:p>
    <w:p>
      <w:pPr>
        <w:pStyle w:val="ListBullet"/>
      </w:pPr>
      <w:r>
        <w:t>Auslagenpauschale Nr. 7002 VV-RVG (20 % der Gebühren, max. 20 EUR): 20,00 EUR</w:t>
      </w:r>
    </w:p>
    <w:p>
      <w:pPr>
        <w:pStyle w:val="ListBullet"/>
      </w:pPr>
      <w:r>
        <w:t>Zwischensumme netto: 967,70 EUR</w:t>
      </w:r>
    </w:p>
    <w:p>
      <w:pPr>
        <w:pStyle w:val="ListBullet"/>
      </w:pPr>
      <w:r>
        <w:t>USt 19 % (Nr. 7008 VV-RVG): 183,86 EUR</w:t>
      </w:r>
    </w:p>
    <w:p>
      <w:pPr>
        <w:pStyle w:val="ListBullet"/>
      </w:pPr>
      <w:r>
        <w:t>Gesamtbetrag: 1.151,56 EUR</w:t>
      </w:r>
    </w:p>
    <w:p/>
    <w:p>
      <w:pPr>
        <w:pStyle w:val="Heading2"/>
      </w:pPr>
      <w:r>
        <w:rPr>
          <w:rFonts w:ascii="Times New Roman" w:hAnsi="Times New Roman"/>
        </w:rPr>
        <w:t>VV-RVG Nr. 7002 — Post- und Telekommunikationspauschale</w:t>
      </w:r>
    </w:p>
    <w:p>
      <w:pPr>
        <w:jc w:val="left"/>
      </w:pPr>
      <w:r>
        <w:t>Pauschale für Porto und Telekommunikation: 20 % der Gebühren, max. 20,00 EUR pro Auftrag.</w:t>
      </w:r>
    </w:p>
    <w:p/>
    <w:p>
      <w:pPr>
        <w:pStyle w:val="Heading2"/>
      </w:pPr>
      <w:r>
        <w:rPr>
          <w:rFonts w:ascii="Times New Roman" w:hAnsi="Times New Roman"/>
        </w:rPr>
        <w:t>VV-RVG Nr. 7008 — Umsatzsteuer</w:t>
      </w:r>
    </w:p>
    <w:p>
      <w:pPr>
        <w:jc w:val="left"/>
      </w:pPr>
      <w:r>
        <w:t>Umsatzsteuer (19 %) auf alle Gebühren und Auslagen.</w:t>
      </w:r>
    </w:p>
    <w:p/>
    <w:p>
      <w:pPr>
        <w:pStyle w:val="Heading2"/>
      </w:pPr>
      <w:r>
        <w:rPr>
          <w:rFonts w:ascii="Times New Roman" w:hAnsi="Times New Roman"/>
        </w:rPr>
        <w:t>§ 14 RVG — Rahmengebühren: Ermessensfaktoren</w:t>
      </w:r>
    </w:p>
    <w:p>
      <w:pPr>
        <w:jc w:val="left"/>
      </w:pPr>
      <w:r>
        <w:t>Bei Nr. 2300 VV-RVG ist die Gebühr innerhalb des Rahmens nach billigem Ermessen zu bestimmen. Relevante Faktoren:</w:t>
      </w:r>
    </w:p>
    <w:p>
      <w:pPr>
        <w:pStyle w:val="ListNumber"/>
      </w:pPr>
      <w:r>
        <w:t>Umfang und Schwierigkeit: Ein einfacher Standardfall (z.B. einfache Kündigung ohne Besonderheiten) rechtfertigt ggf. nur 1,0; komplexer Gesellschafterstreit mit Streitpotenzial 1,5 bis 2,0.</w:t>
      </w:r>
    </w:p>
    <w:p>
      <w:pPr>
        <w:pStyle w:val="ListNumber"/>
      </w:pPr>
      <w:r>
        <w:t>Bedeutung für den Mandanten: Existenzbedrohende Kündigung → höherer Satz.</w:t>
      </w:r>
    </w:p>
    <w:p>
      <w:pPr>
        <w:pStyle w:val="ListNumber"/>
      </w:pPr>
      <w:r>
        <w:t>Einkommens- und Vermögensverhältnisse: Bei Beratungshilfe kein Ansatz über 1,0.</w:t>
      </w:r>
    </w:p>
    <w:p>
      <w:pPr>
        <w:pStyle w:val="ListNumber"/>
      </w:pPr>
      <w:r>
        <w:t>Haftungsrisiko: Bei hohem Haftungsrisiko des Anwalts erhöhter Satz möglich.</w:t>
      </w:r>
    </w:p>
    <w:p/>
    <w:p>
      <w:pPr>
        <w:pStyle w:val="Heading2"/>
      </w:pPr>
      <w:r>
        <w:rPr>
          <w:rFonts w:ascii="Times New Roman" w:hAnsi="Times New Roman"/>
        </w:rPr>
        <w:t>Übersicht angewandte Gebührenmodelle Q2/2026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AZ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Mandant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Honorarmodell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Streitwert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Gebühr Nr. 2300 EUR netto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RT-2026-Q2-0312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Körber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RVG gesetzlich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11.550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947,70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RT-2026-Q2-0314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Pellbach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Zeithonorar (streitig) / RVG vorläufig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595.000 (Nachlass)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3.939 (Basis)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RT-2026-Q2-0316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Schwarzbach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RVG gesetzlich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10.000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865,80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RT-2026-Q2-0317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Tannenmoor GmbH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Zeithonorar 260 EUR/h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n.v.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n.v.</w:t>
            </w:r>
          </w:p>
        </w:tc>
      </w:tr>
    </w:tbl>
    <w:p>
      <w:pPr>
        <w:jc w:val="left"/>
      </w:pPr>
      <w:r>
        <w:t>Detaillierte Einzelberechnungen: xlsx/rvg-rechner-vorgaenge.xlsx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Roosendaal &amp; Tannenfels Rechtsanwälte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2"/>
      </w:rPr>
      <w:t>ROOSENDAAL &amp; TANNENFELS RECHTSANWÄLTE</w:t>
    </w:r>
  </w:p>
  <w:p>
    <w:pPr>
      <w:jc w:val="left"/>
      <w:pBdr>
        <w:bottom w:val="single" w:sz="8" w:space="2" w:color="3B3F45"/>
      </w:pBdr>
    </w:pPr>
    <w:r>
      <w:rPr>
        <w:rFonts w:ascii="Times New Roman" w:hAnsi="Times New Roman"/>
        <w:color w:val="6B6B66"/>
        <w:sz w:val="16"/>
      </w:rPr>
      <w:t>Rechtsanwaltskanzlei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