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Honorarvereinbarung — Musterklausel Zeithonorar</w:t>
      </w:r>
    </w:p>
    <w:p>
      <w:pPr>
        <w:jc w:val="left"/>
      </w:pPr>
      <w:r>
        <w:t>Kanzlei: Roosendaal &amp; Tannenfels Rechtsanwälte PartmbB</w:t>
      </w:r>
    </w:p>
    <w:p>
      <w:pPr>
        <w:jc w:val="left"/>
      </w:pPr>
      <w:r>
        <w:t>Verfasst: Dr. Falk Roosendaal | Stand: 01.01.2026</w:t>
      </w:r>
    </w:p>
    <w:p>
      <w:pPr>
        <w:jc w:val="left"/>
      </w:pPr>
      <w:r>
        <w:t>Grundlage: BRAO § 49b; RVG §§ 3a, 4; BORA § 12</w:t>
      </w:r>
    </w:p>
    <w:p/>
    <w:p>
      <w:pPr>
        <w:pStyle w:val="Heading2"/>
      </w:pPr>
      <w:r>
        <w:rPr>
          <w:rFonts w:ascii="Times New Roman" w:hAnsi="Times New Roman"/>
        </w:rPr>
        <w:t>Allgemeines</w:t>
      </w:r>
    </w:p>
    <w:p>
      <w:pPr>
        <w:jc w:val="left"/>
      </w:pPr>
      <w:r>
        <w:t>Die gesetzliche Vergütung nach dem RVG stellt die gesetzliche Mindest- und zugleich Regelgebühr dar. Durch schriftliche Vereinbarung (§ 3a Abs. 1 RVG) kann eine von den gesetzlichen Gebühren abweichende Vergütung vereinbart werden — sowohl Zeithonorar (Stundenhonorar) als auch Pauschalhonorare und Erfolgshonorare (letztere unter den Voraussetzungen von § 4a RVG).</w:t>
      </w:r>
    </w:p>
    <w:p>
      <w:pPr>
        <w:jc w:val="left"/>
      </w:pPr>
      <w:r>
        <w:t>Wichtig: BRAO § 49b verbietet ausdrücklich sittenwidrige Vergütungsvereinbarungen und verpflichtet den Rechtsanwalt, dem Mandanten eine angemessene Vergütung anzubieten. Eine Unterschreitung der gesetzlichen Mindestgebühr ist nur in Ausnahmefällen zulässig.</w:t>
      </w:r>
    </w:p>
    <w:p/>
    <w:p>
      <w:pPr>
        <w:pStyle w:val="Heading2"/>
      </w:pPr>
      <w:r>
        <w:rPr>
          <w:rFonts w:ascii="Times New Roman" w:hAnsi="Times New Roman"/>
        </w:rPr>
        <w:t>Musterklausel: Zeithonorar-Vereinbarung</w:t>
      </w:r>
    </w:p>
    <w:p>
      <w:pPr>
        <w:jc w:val="left"/>
      </w:pPr>
      <w:r>
        <w:rPr>
          <w:b/>
        </w:rPr>
        <w:t>§ 1 — Gegenstand</w:t>
      </w:r>
    </w:p>
    <w:p>
      <w:pPr>
        <w:jc w:val="left"/>
      </w:pPr>
      <w:r>
        <w:t>Diese Honorarvereinbarung gilt für die anwaltliche Tätigkeit von [Name RA/RAin], Roosendaal &amp; Tannenfels Rechtsanwälte PartmbB, im Mandat [Aktenzeichen / Sachgebiet] für [Name Mandant].</w:t>
      </w:r>
    </w:p>
    <w:p>
      <w:pPr>
        <w:jc w:val="left"/>
      </w:pPr>
      <w:r>
        <w:rPr>
          <w:b/>
        </w:rPr>
        <w:t>§ 2 — Stundenhonorar</w:t>
      </w:r>
    </w:p>
    <w:p>
      <w:pPr>
        <w:jc w:val="left"/>
      </w:pPr>
      <w:r>
        <w:t>Abweichend von den gesetzlichen Gebühren nach dem Rechtsanwaltsvergütungsgesetz (RVG) wird ein Stundenhonorar von [Betrag] EUR zzgl. der gesetzlichen Umsatzsteuer (derzeit 19 %) vereinbart. Dieser Betrag gilt für alle anwaltlichen Tätigkeiten, insbesondere für Beratung, Schriftwechsel, Verhandlungen, Gerichtstermine und Aktenstudium.</w:t>
      </w:r>
    </w:p>
    <w:p>
      <w:pPr>
        <w:jc w:val="left"/>
      </w:pPr>
      <w:r>
        <w:t>Reisezeiten werden zu 50 % des Stundenhonorars abgerechnet, soweit nicht anderweitig vereinbart.</w:t>
      </w:r>
    </w:p>
    <w:p>
      <w:pPr>
        <w:jc w:val="left"/>
      </w:pPr>
      <w:r>
        <w:rPr>
          <w:b/>
        </w:rPr>
        <w:t>§ 3 — Abrechnung und Fälligkeit</w:t>
      </w:r>
    </w:p>
    <w:p>
      <w:pPr>
        <w:jc w:val="left"/>
      </w:pPr>
      <w:r>
        <w:t>Die Abrechnung erfolgt monatlich auf Basis der aufgewendeten Stunden (Mindesteinheit: 6 Minuten je Zeiteinheit). Die Rechnungsstellung erfolgt am Ende des jeweiligen Kalendermonats, fällig 14 Tage nach Zugang der Rechnung. Der Mandant erhält einen Tätigkeitsnachweis (Stundenprotokoll) als Anlage zur Rechnung.</w:t>
      </w:r>
    </w:p>
    <w:p>
      <w:pPr>
        <w:jc w:val="left"/>
      </w:pPr>
      <w:r>
        <w:rPr>
          <w:b/>
        </w:rPr>
        <w:t>§ 4 — Kostenvorschuss</w:t>
      </w:r>
    </w:p>
    <w:p>
      <w:pPr>
        <w:jc w:val="left"/>
      </w:pPr>
      <w:r>
        <w:t>Die Kanzlei ist berechtigt, vor Mandatsbeginn einen Kostenvorschuss in Höhe von [Betrag] EUR anzufordern. Eine Pflicht zur Leistung des Vorschusses besteht erst nach Zahlungseingang.</w:t>
      </w:r>
    </w:p>
    <w:p>
      <w:pPr>
        <w:jc w:val="left"/>
      </w:pPr>
      <w:r>
        <w:rPr>
          <w:b/>
        </w:rPr>
        <w:t>§ 5 — Verhältnis zu RVG-Gebühren</w:t>
      </w:r>
    </w:p>
    <w:p>
      <w:pPr>
        <w:jc w:val="left"/>
      </w:pPr>
      <w:r>
        <w:t>Diese Vereinbarung ersetzt vollständig die gesetzlichen Gebühren nach dem RVG. Soweit gesetzliche Gebühren gegenüber der Gegenseite oder einer Rechtsschutzversicherung geltend gemacht werden, richtet sich die Erstattung nach den gesetzlichen Gebühren (RVG). Ein etwaiger Mehraufwand gegenüber dem Zeithonorar verbleibt beim Mandanten.</w:t>
      </w:r>
    </w:p>
    <w:p>
      <w:pPr>
        <w:jc w:val="left"/>
      </w:pPr>
      <w:r>
        <w:rPr>
          <w:b/>
        </w:rPr>
        <w:t>§ 6 — Rechtsschutzversicherung</w:t>
      </w:r>
    </w:p>
    <w:p>
      <w:pPr>
        <w:jc w:val="left"/>
      </w:pPr>
      <w:r>
        <w:t>Soweit der Mandant rechtsschutzversichert ist, werden die Leistungen der Rechtsschutzversicherung zunächst auf das Zeithonorar angerechnet. Ein verbleibender Betrag ist vom Mandanten zu tragen.</w:t>
      </w:r>
    </w:p>
    <w:p>
      <w:pPr>
        <w:jc w:val="left"/>
      </w:pPr>
      <w:r>
        <w:rPr>
          <w:b/>
        </w:rPr>
        <w:t>§ 7 — Schriftform / Widerruf</w:t>
      </w:r>
    </w:p>
    <w:p>
      <w:pPr>
        <w:jc w:val="left"/>
      </w:pPr>
      <w:r>
        <w:t>Diese Vereinbarung bedarf der Schriftform (§ 3a Abs. 1 S. 1 RVG). Eine mündliche Nebenabrede ist nicht wirksam. Dem Mandanten steht kein Widerrufsrecht zu, da diese Vereinbarung keine Fernabsatzsituation darstellt.</w:t>
      </w:r>
    </w:p>
    <w:p/>
    <w:p>
      <w:pPr>
        <w:pStyle w:val="Heading2"/>
      </w:pPr>
      <w:r>
        <w:rPr>
          <w:rFonts w:ascii="Times New Roman" w:hAnsi="Times New Roman"/>
        </w:rPr>
        <w:t>Stundensätze Kanzlei RT (Stand 2026)</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Stundensatz EUR/h netto</w:t>
            </w:r>
          </w:p>
        </w:tc>
      </w:tr>
      <w:tr>
        <w:tc>
          <w:tcPr>
            <w:tcW w:type="dxa" w:w="4536"/>
          </w:tcPr>
          <w:p>
            <w:r>
              <w:rPr>
                <w:rFonts w:ascii="Times New Roman" w:hAnsi="Times New Roman"/>
                <w:sz w:val="20"/>
              </w:rPr>
              <w:t>Dr. Falk Roosendaal (Senior-Partner)</w:t>
            </w:r>
          </w:p>
        </w:tc>
        <w:tc>
          <w:tcPr>
            <w:tcW w:type="dxa" w:w="4536"/>
          </w:tcPr>
          <w:p>
            <w:r>
              <w:rPr>
                <w:rFonts w:ascii="Times New Roman" w:hAnsi="Times New Roman"/>
                <w:sz w:val="20"/>
              </w:rPr>
              <w:t>350</w:t>
            </w:r>
          </w:p>
        </w:tc>
      </w:tr>
      <w:tr>
        <w:tc>
          <w:tcPr>
            <w:tcW w:type="dxa" w:w="4536"/>
          </w:tcPr>
          <w:p>
            <w:r>
              <w:rPr>
                <w:rFonts w:ascii="Times New Roman" w:hAnsi="Times New Roman"/>
                <w:sz w:val="20"/>
              </w:rPr>
              <w:t>Dr. Henrietta Vellbruck</w:t>
            </w:r>
          </w:p>
        </w:tc>
        <w:tc>
          <w:tcPr>
            <w:tcW w:type="dxa" w:w="4536"/>
          </w:tcPr>
          <w:p>
            <w:r>
              <w:rPr>
                <w:rFonts w:ascii="Times New Roman" w:hAnsi="Times New Roman"/>
                <w:sz w:val="20"/>
              </w:rPr>
              <w:t>310</w:t>
            </w:r>
          </w:p>
        </w:tc>
      </w:tr>
      <w:tr>
        <w:tc>
          <w:tcPr>
            <w:tcW w:type="dxa" w:w="4536"/>
          </w:tcPr>
          <w:p>
            <w:r>
              <w:rPr>
                <w:rFonts w:ascii="Times New Roman" w:hAnsi="Times New Roman"/>
                <w:sz w:val="20"/>
              </w:rPr>
              <w:t>RA Lasse Tannenfels</w:t>
            </w:r>
          </w:p>
        </w:tc>
        <w:tc>
          <w:tcPr>
            <w:tcW w:type="dxa" w:w="4536"/>
          </w:tcPr>
          <w:p>
            <w:r>
              <w:rPr>
                <w:rFonts w:ascii="Times New Roman" w:hAnsi="Times New Roman"/>
                <w:sz w:val="20"/>
              </w:rPr>
              <w:t>280</w:t>
            </w:r>
          </w:p>
        </w:tc>
      </w:tr>
      <w:tr>
        <w:tc>
          <w:tcPr>
            <w:tcW w:type="dxa" w:w="4536"/>
          </w:tcPr>
          <w:p>
            <w:r>
              <w:rPr>
                <w:rFonts w:ascii="Times New Roman" w:hAnsi="Times New Roman"/>
                <w:sz w:val="20"/>
              </w:rPr>
              <w:t>RAin Eve Pohlmann</w:t>
            </w:r>
          </w:p>
        </w:tc>
        <w:tc>
          <w:tcPr>
            <w:tcW w:type="dxa" w:w="4536"/>
          </w:tcPr>
          <w:p>
            <w:r>
              <w:rPr>
                <w:rFonts w:ascii="Times New Roman" w:hAnsi="Times New Roman"/>
                <w:sz w:val="20"/>
              </w:rPr>
              <w:t>280</w:t>
            </w:r>
          </w:p>
        </w:tc>
      </w:tr>
      <w:tr>
        <w:tc>
          <w:tcPr>
            <w:tcW w:type="dxa" w:w="4536"/>
          </w:tcPr>
          <w:p>
            <w:r>
              <w:rPr>
                <w:rFonts w:ascii="Times New Roman" w:hAnsi="Times New Roman"/>
                <w:sz w:val="20"/>
              </w:rPr>
              <w:t>RA Tobias Gehrmann</w:t>
            </w:r>
          </w:p>
        </w:tc>
        <w:tc>
          <w:tcPr>
            <w:tcW w:type="dxa" w:w="4536"/>
          </w:tcPr>
          <w:p>
            <w:r>
              <w:rPr>
                <w:rFonts w:ascii="Times New Roman" w:hAnsi="Times New Roman"/>
                <w:sz w:val="20"/>
              </w:rPr>
              <w:t>260</w:t>
            </w:r>
          </w:p>
        </w:tc>
      </w:tr>
      <w:tr>
        <w:tc>
          <w:tcPr>
            <w:tcW w:type="dxa" w:w="4536"/>
          </w:tcPr>
          <w:p>
            <w:r>
              <w:rPr>
                <w:rFonts w:ascii="Times New Roman" w:hAnsi="Times New Roman"/>
                <w:sz w:val="20"/>
              </w:rPr>
              <w:t>RAin Sina Orbach</w:t>
            </w:r>
          </w:p>
        </w:tc>
        <w:tc>
          <w:tcPr>
            <w:tcW w:type="dxa" w:w="4536"/>
          </w:tcPr>
          <w:p>
            <w:r>
              <w:rPr>
                <w:rFonts w:ascii="Times New Roman" w:hAnsi="Times New Roman"/>
                <w:sz w:val="20"/>
              </w:rPr>
              <w:t>260</w:t>
            </w:r>
          </w:p>
        </w:tc>
      </w:tr>
      <w:tr>
        <w:tc>
          <w:tcPr>
            <w:tcW w:type="dxa" w:w="4536"/>
          </w:tcPr>
          <w:p>
            <w:r>
              <w:rPr>
                <w:rFonts w:ascii="Times New Roman" w:hAnsi="Times New Roman"/>
                <w:sz w:val="20"/>
              </w:rPr>
              <w:t>RA-Fachangestellte (Sachbearbeitung)</w:t>
            </w:r>
          </w:p>
        </w:tc>
        <w:tc>
          <w:tcPr>
            <w:tcW w:type="dxa" w:w="4536"/>
          </w:tcPr>
          <w:p>
            <w:r>
              <w:rPr>
                <w:rFonts w:ascii="Times New Roman" w:hAnsi="Times New Roman"/>
                <w:sz w:val="20"/>
              </w:rPr>
              <w:t>95</w:t>
            </w:r>
          </w:p>
        </w:tc>
      </w:tr>
    </w:tbl>
    <w:p/>
    <w:p>
      <w:pPr>
        <w:pStyle w:val="Heading2"/>
      </w:pPr>
      <w:r>
        <w:rPr>
          <w:rFonts w:ascii="Times New Roman" w:hAnsi="Times New Roman"/>
        </w:rPr>
        <w:t>Rechtsgrundlagen</w:t>
      </w:r>
    </w:p>
    <w:p>
      <w:pPr>
        <w:pStyle w:val="ListBullet"/>
      </w:pPr>
      <w:r>
        <w:t>BRAO § 49b: Vergütung — dejure.org/gesetze/BRAO/49b.html</w:t>
      </w:r>
    </w:p>
    <w:p>
      <w:pPr>
        <w:pStyle w:val="ListBullet"/>
      </w:pPr>
      <w:r>
        <w:t>RVG § 3a: Abweichende Vergütungsvereinbarung — dejure.org/gesetze/RVG/3a.html</w:t>
      </w:r>
    </w:p>
    <w:p>
      <w:pPr>
        <w:pStyle w:val="ListBullet"/>
      </w:pPr>
      <w:r>
        <w:t>RVG § 4: Erfolgshonorar — dejure.org/gesetze/RVG/4.html</w:t>
      </w:r>
    </w:p>
    <w:p>
      <w:pPr>
        <w:pStyle w:val="ListBullet"/>
      </w:pPr>
      <w:r>
        <w:t>BORA § 12: Sachlichkeitsgebot und Vergütung — brak.de/bora</w:t>
      </w:r>
    </w:p>
    <w:p/>
    <w:p>
      <w:pPr>
        <w:pStyle w:val="Heading2"/>
      </w:pPr>
      <w:r>
        <w:rPr>
          <w:rFonts w:ascii="Times New Roman" w:hAnsi="Times New Roman"/>
        </w:rPr>
        <w:t>Anmerkung zum Honorarstreit Pellbach (RT-2026-Q2-0314)</w:t>
      </w:r>
    </w:p>
    <w:p>
      <w:pPr>
        <w:jc w:val="left"/>
      </w:pPr>
      <w:r>
        <w:t>Der Vorfall mit Frau Pellbach (Erbrecht, Honorarstreit) hat gezeigt, dass die Unterzeichnung der Honorarvereinbarung unbedingt vor oder spätestens am Tag der Erstberatung einzuholen ist. Mündliche Absprachen sind beweisrechtlich problematisch (§ 3a Abs. 1 S. 1 RVG verlangt ausdrücklich Schriftform; mündliche Vereinbarung ist unwirksam). Maßnahme: Checkliste vor Erstberatung enthält jetzt Pflichtpunkt „Honorarvereinbarung unterzeichnet".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Roosendaal &amp; Tannenfels Rechtsanwälte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ROOSENDAAL &amp; TANNENFELS RECHTSANWÄLTE</w:t>
    </w:r>
  </w:p>
  <w:p>
    <w:pPr>
      <w:jc w:val="left"/>
      <w:pBdr>
        <w:bottom w:val="single" w:sz="8" w:space="2" w:color="3B3F45"/>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