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Kanzleistatistik Q2/2026</w:t>
      </w:r>
    </w:p>
    <w:p>
      <w:pPr>
        <w:jc w:val="left"/>
      </w:pPr>
      <w:r>
        <w:t>Kanzlei: Roosendaal &amp; Tannenfels Rechtsanwälte PartmbB</w:t>
      </w:r>
    </w:p>
    <w:p>
      <w:pPr>
        <w:jc w:val="left"/>
      </w:pPr>
      <w:r>
        <w:t>Berichtszeitraum: 01.04.2026 – 30.06.2026</w:t>
      </w:r>
    </w:p>
    <w:p>
      <w:pPr>
        <w:jc w:val="left"/>
      </w:pPr>
      <w:r>
        <w:t>Erstellt: Dr. Falk Roosendaal | 02.07.2026</w:t>
      </w:r>
    </w:p>
    <w:p/>
    <w:p>
      <w:pPr>
        <w:pStyle w:val="Heading2"/>
      </w:pPr>
      <w:r>
        <w:rPr>
          <w:rFonts w:ascii="Times New Roman" w:hAnsi="Times New Roman"/>
        </w:rPr>
        <w:t>1. Erstanfragen-Statistik Q2/2026</w:t>
      </w:r>
    </w:p>
    <w:p>
      <w:pPr>
        <w:pStyle w:val="Heading3"/>
      </w:pPr>
      <w:r>
        <w:rPr>
          <w:rFonts w:ascii="Times New Roman" w:hAnsi="Times New Roman"/>
        </w:rPr>
        <w:t>Eingänge gesamt: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Monat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Anzahl Anfragen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Angenommen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Abgelehnt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Weitergeleitet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April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Mai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Juni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Gesamt Q2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Ablehnungsquote: 37,5 % (3 von 8)</w:t>
      </w:r>
    </w:p>
    <w:p>
      <w:pPr>
        <w:jc w:val="left"/>
      </w:pPr>
      <w:r>
        <w:t>Aufschlüsselung Ablehnungsgründe:</w:t>
      </w:r>
    </w:p>
    <w:p>
      <w:pPr>
        <w:pStyle w:val="ListBullet"/>
      </w:pPr>
      <w:r>
        <w:t>Interessenkollision (BORA § 3): 2 Fälle (Feldkamp, Merkel/Köhn)</w:t>
      </w:r>
    </w:p>
    <w:p>
      <w:pPr>
        <w:pStyle w:val="ListBullet"/>
      </w:pPr>
      <w:r>
        <w:t>Wirtschaftlichkeit / Streitwert: 1 Fall (Hagenbroich)</w:t>
      </w:r>
    </w:p>
    <w:p>
      <w:pPr>
        <w:pStyle w:val="ListBullet"/>
      </w:pPr>
      <w:r>
        <w:t>Fachkompetenz (Weiterleitung): 1 Fall (Trambach)</w:t>
      </w:r>
    </w:p>
    <w:p/>
    <w:p>
      <w:pPr>
        <w:pStyle w:val="Heading2"/>
      </w:pPr>
      <w:r>
        <w:rPr>
          <w:rFonts w:ascii="Times New Roman" w:hAnsi="Times New Roman"/>
        </w:rPr>
        <w:t>2. Rechtsgebiete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Rechtsgebiet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Anfragen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Angenommen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Ablehnungsquote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Arbeitsrecht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Mietrecht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100 % (Konflikt)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Erbrecht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Verkehrsrecht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100 % (Streitwert)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Baurecht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IT-Recht/AGB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Gesellschaftsrecht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100 % (Konflikt)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Arzthaftung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100 % (Weiterleitung)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Eingangskanäle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Kanal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Anzahl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Anteil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Webformular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50 %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Empfehlung Bestandsmandant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Telefoneingang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12,5 %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Walk-in / Kanzleischild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12,5 %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Sachbearbeiter-Auslastung (Erstanfragen Q2)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Rechtsanwalt/Rechtsanwältin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Anfragen bearbeitet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Mandate erteilt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Falk Roosendaal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Henrietta Vellbruck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 Lasse Tannenfels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RAin Eve Pohlmann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 Tobias Gehrmann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RAin Sina Orbach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Honorarmodelle der angenommenen Mandate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Mandant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Honorarmodell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Ges. Streitwert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RT-2026-Q2-0312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Körber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RVG gesetzlich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11.550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RT-2026-Q2-0314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Pellbach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RVG vorläufig (Zeithonorar streitig)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595.000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RT-2026-Q2-0316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Schwarzbach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RVG gesetzlich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RT-2026-Q2-0317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Tannenmoor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Zeithonorar 260 EUR/h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variabel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6. Besondere Qualitätsereignisse Q2/2026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Vorgang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07.04.2026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Konflikt Feldkamp/Klausberg korrekt erkannt vor Erstberatung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Positiv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02.06.2026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Mandatsbestätigung Merkel/Köhn vor vollständigem Konfliktcheck versandt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Negativ — Maßnahme eingeleitet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19.05.2026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DSGVO-Mangel Webformular (intern und Mandant Tannenmoor) erkannt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Neutral — Verbesserung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29.04.2026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Bewertungsplattform-Beschwerde Hagenbroich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Negativ — beantwortet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7. Vergleich Q1/2026 vs. Q2/2026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Kennzahl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Q1/2026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Q2/2026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Veränderung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Erstanfragen gesamt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+33 %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Mandate erteilt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+/- 0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Durchschn. Bearbeitungszeit (Triage bis Entscheidung)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3,2 Tage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2,8 Tage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-12,5 %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Ablehnungsquote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33 %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37,5 %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+4,5 PP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8. Empfehlungen für Q3/2026</w:t>
      </w:r>
    </w:p>
    <w:p>
      <w:pPr>
        <w:pStyle w:val="ListNumber"/>
      </w:pPr>
      <w:r>
        <w:t>Digitales Konflikt-Check-Tool (Advoware-Integration) bis 01.08.2026 aktivieren.</w:t>
      </w:r>
    </w:p>
    <w:p>
      <w:pPr>
        <w:pStyle w:val="ListNumber"/>
      </w:pPr>
      <w:r>
        <w:t>Erstanfragen-Wachstum (+ 33 %) zeigt Bedarf an zusätzlicher Kapazität; Gespräch über Einstellung RAin/RA für Arbeitsrecht für Q4/2026 empfohlen.</w:t>
      </w:r>
    </w:p>
    <w:p>
      <w:pPr>
        <w:pStyle w:val="ListNumber"/>
      </w:pPr>
      <w:r>
        <w:t>Webformular-Qualität weiter verbessern: Pflichtfeld "Gegner/Gegenseite" einführen.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Roosendaal &amp; Tannenfels Rechtsanwälte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2"/>
      </w:rPr>
      <w:t>ROOSENDAAL &amp; TANNENFELS RECHTSANWÄLTE</w:t>
    </w:r>
  </w:p>
  <w:p>
    <w:pPr>
      <w:jc w:val="left"/>
      <w:pBdr>
        <w:bottom w:val="single" w:sz="8" w:space="2" w:color="3B3F45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