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Mandantenzufriedenheit und Feedback Q2/2026</w:t>
      </w:r>
    </w:p>
    <w:p>
      <w:pPr>
        <w:jc w:val="left"/>
      </w:pPr>
      <w:r>
        <w:t>Kanzlei: Roosendaal &amp; Tannenfels Rechtsanwälte PartmbB</w:t>
      </w:r>
    </w:p>
    <w:p>
      <w:pPr>
        <w:jc w:val="left"/>
      </w:pPr>
      <w:r>
        <w:t>Erstellt: RAin Eve Pohlmann | Stand: 01.07.2026</w:t>
      </w:r>
    </w:p>
    <w:p/>
    <w:p>
      <w:pPr>
        <w:pStyle w:val="Heading2"/>
      </w:pPr>
      <w:r>
        <w:rPr>
          <w:rFonts w:ascii="Times New Roman" w:hAnsi="Times New Roman"/>
        </w:rPr>
        <w:t>1. Feedback-System</w:t>
      </w:r>
    </w:p>
    <w:p>
      <w:pPr>
        <w:jc w:val="left"/>
      </w:pPr>
      <w:r>
        <w:t>Die Kanzlei Roosendaal &amp; Tannenfels erhebt seit Q1/2026 systematisch Mandantenfeedback nach Abschluss oder wesentlichem Meilenstein eines Mandats. Das Feedback erfolgt per E-Mail-Fragebogen (4 Fragen, Skala 1–5 plus Freitextfeld), versandt durch die Kanzleisoftware Advoware.</w:t>
      </w:r>
    </w:p>
    <w:p>
      <w:pPr>
        <w:jc w:val="left"/>
      </w:pPr>
      <w:r>
        <w:t>Rücklaufquote Q2/2026: 3 von 4 Mandatierungen (75 %)</w:t>
      </w:r>
    </w:p>
    <w:p/>
    <w:p>
      <w:pPr>
        <w:pStyle w:val="Heading2"/>
      </w:pPr>
      <w:r>
        <w:rPr>
          <w:rFonts w:ascii="Times New Roman" w:hAnsi="Times New Roman"/>
        </w:rPr>
        <w:t>2. Auswertung Feedback-Bögen</w:t>
      </w:r>
    </w:p>
    <w:p>
      <w:pPr>
        <w:pStyle w:val="Heading3"/>
      </w:pPr>
      <w:r>
        <w:rPr>
          <w:rFonts w:ascii="Times New Roman" w:hAnsi="Times New Roman"/>
        </w:rPr>
        <w:t>RT-2026-Q2-0312 — Körber (Arbeitsrecht)</w:t>
      </w:r>
    </w:p>
    <w:p>
      <w:pPr>
        <w:jc w:val="left"/>
      </w:pPr>
      <w:r>
        <w:t>Fragebogen ausgefüllt: 20.06.2026</w:t>
      </w:r>
    </w:p>
    <w:p>
      <w:pPr>
        <w:pStyle w:val="ListBullet"/>
      </w:pPr>
      <w:r>
        <w:t>Erreichbarkeit und Reaktionszeit: 5/5</w:t>
      </w:r>
    </w:p>
    <w:p>
      <w:pPr>
        <w:pStyle w:val="ListBullet"/>
      </w:pPr>
      <w:r>
        <w:t>Verständlichkeit der Erläuterungen: 5/5</w:t>
      </w:r>
    </w:p>
    <w:p>
      <w:pPr>
        <w:pStyle w:val="ListBullet"/>
      </w:pPr>
      <w:r>
        <w:t>Gefühl der guten Betreuung: 4/5</w:t>
      </w:r>
    </w:p>
    <w:p>
      <w:pPr>
        <w:pStyle w:val="ListBullet"/>
      </w:pPr>
      <w:r>
        <w:t>Weiterempfehlungsbereitschaft: 5/5</w:t>
      </w:r>
    </w:p>
    <w:p>
      <w:pPr>
        <w:jc w:val="left"/>
      </w:pPr>
      <w:r>
        <w:t>Freitext: „Herr Tannenfels hat mir sehr schnell geholfen und die Klage rechtzeitig eingereicht. Fühle mich gut aufgehoben."</w:t>
      </w:r>
    </w:p>
    <w:p>
      <w:pPr>
        <w:jc w:val="left"/>
      </w:pPr>
      <w:r>
        <w:t>Durchschnitt: 4,75/5</w:t>
      </w:r>
    </w:p>
    <w:p>
      <w:pPr>
        <w:pStyle w:val="Heading3"/>
      </w:pPr>
      <w:r>
        <w:rPr>
          <w:rFonts w:ascii="Times New Roman" w:hAnsi="Times New Roman"/>
        </w:rPr>
        <w:t>RT-2026-Q2-0314 — Pellbach (Erbrecht)</w:t>
      </w:r>
    </w:p>
    <w:p>
      <w:pPr>
        <w:jc w:val="left"/>
      </w:pPr>
      <w:r>
        <w:t>Fragebogen ausgefüllt: 15.06.2026</w:t>
      </w:r>
    </w:p>
    <w:p>
      <w:pPr>
        <w:pStyle w:val="ListBullet"/>
      </w:pPr>
      <w:r>
        <w:t>Erreichbarkeit und Reaktionszeit: 3/5</w:t>
      </w:r>
    </w:p>
    <w:p>
      <w:pPr>
        <w:pStyle w:val="ListBullet"/>
      </w:pPr>
      <w:r>
        <w:t>Verständlichkeit der Erläuterungen: 4/5</w:t>
      </w:r>
    </w:p>
    <w:p>
      <w:pPr>
        <w:pStyle w:val="ListBullet"/>
      </w:pPr>
      <w:r>
        <w:t>Gefühl der guten Betreuung: 3/5</w:t>
      </w:r>
    </w:p>
    <w:p>
      <w:pPr>
        <w:pStyle w:val="ListBullet"/>
      </w:pPr>
      <w:r>
        <w:t>Weiterempfehlungsbereitschaft: 3/5</w:t>
      </w:r>
    </w:p>
    <w:p>
      <w:pPr>
        <w:jc w:val="left"/>
      </w:pPr>
      <w:r>
        <w:t>Freitext: „Das Erbrecht-Thema ist komplex, das wurde gut erklärt. Der Streit über das Honorar hat mich sehr verunsichert; ich hätte mir gewünscht, dass die schriftliche Vereinbarung gleich beim ersten Termin fertig ist."</w:t>
      </w:r>
    </w:p>
    <w:p>
      <w:pPr>
        <w:jc w:val="left"/>
      </w:pPr>
      <w:r>
        <w:t>Durchschnitt: 3,25/5</w:t>
      </w:r>
    </w:p>
    <w:p>
      <w:pPr>
        <w:jc w:val="left"/>
      </w:pPr>
      <w:r>
        <w:t>Interne Bewertung: Mandantenunzufriedenheit direkt auf den Honorarstreit (Aktenstück 14) zurückführbar. Maßnahme: Checkliste Honorarvereinbarung vor Erstberatung.</w:t>
      </w:r>
    </w:p>
    <w:p>
      <w:pPr>
        <w:pStyle w:val="Heading3"/>
      </w:pPr>
      <w:r>
        <w:rPr>
          <w:rFonts w:ascii="Times New Roman" w:hAnsi="Times New Roman"/>
        </w:rPr>
        <w:t>RT-2026-Q2-0316 — Schwarzbach (Baurecht)</w:t>
      </w:r>
    </w:p>
    <w:p>
      <w:pPr>
        <w:jc w:val="left"/>
      </w:pPr>
      <w:r>
        <w:t>Fragebogen ausgefüllt: 28.06.2026</w:t>
      </w:r>
    </w:p>
    <w:p>
      <w:pPr>
        <w:pStyle w:val="ListBullet"/>
      </w:pPr>
      <w:r>
        <w:t>Erreichbarkeit und Reaktionszeit: 5/5</w:t>
      </w:r>
    </w:p>
    <w:p>
      <w:pPr>
        <w:pStyle w:val="ListBullet"/>
      </w:pPr>
      <w:r>
        <w:t>Verständlichkeit der Erläuterungen: 5/5</w:t>
      </w:r>
    </w:p>
    <w:p>
      <w:pPr>
        <w:pStyle w:val="ListBullet"/>
      </w:pPr>
      <w:r>
        <w:t>Gefühl der guten Betreuung: 5/5</w:t>
      </w:r>
    </w:p>
    <w:p>
      <w:pPr>
        <w:pStyle w:val="ListBullet"/>
      </w:pPr>
      <w:r>
        <w:t>Weiterempfehlungsbereitschaft: 5/5</w:t>
      </w:r>
    </w:p>
    <w:p>
      <w:pPr>
        <w:jc w:val="left"/>
      </w:pPr>
      <w:r>
        <w:t>Freitext: „Frau Orbach hat sofort gehandelt und alles sehr professionell erledigt. Werde Kanzlei gerne weiterempfehlen."</w:t>
      </w:r>
    </w:p>
    <w:p>
      <w:pPr>
        <w:jc w:val="left"/>
      </w:pPr>
      <w:r>
        <w:t>Durchschnitt: 5/5</w:t>
      </w:r>
    </w:p>
    <w:p>
      <w:pPr>
        <w:pStyle w:val="Heading3"/>
      </w:pPr>
      <w:r>
        <w:rPr>
          <w:rFonts w:ascii="Times New Roman" w:hAnsi="Times New Roman"/>
        </w:rPr>
        <w:t>RT-2026-Q2-0317 — Tannenmoor GmbH</w:t>
      </w:r>
    </w:p>
    <w:p>
      <w:pPr>
        <w:jc w:val="left"/>
      </w:pPr>
      <w:r>
        <w:t>Fragebogen: nicht zurückgesandt (Oliver Wendeborn angabegemäß „nicht die Zeit")</w:t>
      </w:r>
    </w:p>
    <w:p/>
    <w:p>
      <w:pPr>
        <w:pStyle w:val="Heading2"/>
      </w:pPr>
      <w:r>
        <w:rPr>
          <w:rFonts w:ascii="Times New Roman" w:hAnsi="Times New Roman"/>
        </w:rPr>
        <w:t>3. Bewertungsplattform-Beschwerde Hagenbroich</w:t>
      </w:r>
    </w:p>
    <w:p>
      <w:pPr>
        <w:pStyle w:val="Heading3"/>
      </w:pPr>
      <w:r>
        <w:rPr>
          <w:rFonts w:ascii="Times New Roman" w:hAnsi="Times New Roman"/>
        </w:rPr>
        <w:t>Sachverhalt</w:t>
      </w:r>
    </w:p>
    <w:p>
      <w:pPr>
        <w:jc w:val="left"/>
      </w:pPr>
      <w:r>
        <w:t>Am 29.04.2026 erschien auf der Plattform anwaltauskunft.de folgende Rezension unter dem Nutzerprofil „GHagenbroich_Koeln" (1 Stern):</w:t>
      </w:r>
    </w:p>
    <w:p>
      <w:pPr>
        <w:ind w:left="567"/>
      </w:pPr>
      <w:r>
        <w:rPr>
          <w:i/>
        </w:rPr>
        <w:t>„Kanzlei hat mir nicht geholfen, obwohl mir Unrecht geschehen ist. Musste erst erklären was Beratungshilfe ist. Unfreundlich."</w:t>
      </w:r>
    </w:p>
    <w:p>
      <w:pPr>
        <w:pStyle w:val="Heading3"/>
      </w:pPr>
      <w:r>
        <w:rPr>
          <w:rFonts w:ascii="Times New Roman" w:hAnsi="Times New Roman"/>
        </w:rPr>
        <w:t>Bewertung des Inhalts</w:t>
      </w:r>
    </w:p>
    <w:p>
      <w:pPr>
        <w:jc w:val="left"/>
      </w:pPr>
      <w:r>
        <w:t>Die Bewertung enthält:</w:t>
      </w:r>
    </w:p>
    <w:p>
      <w:pPr>
        <w:pStyle w:val="ListBullet"/>
      </w:pPr>
      <w:r>
        <w:t>Unzutreffende Darstellung: Herr Hagenbroich wurde freundlich beraten; der Begriff Beratungshilfe wurde erklärt, weil er ihn offenbar tatsächlich nicht kannte.</w:t>
      </w:r>
    </w:p>
    <w:p>
      <w:pPr>
        <w:pStyle w:val="ListBullet"/>
      </w:pPr>
      <w:r>
        <w:t>Sachlich korrekte Ablehnung: Die Kanzlei hat das Mandat aus objektiv nachvollziehbaren Gründen nicht angenommen (unbekannter Gegner, niedriger Streitwert).</w:t>
      </w:r>
    </w:p>
    <w:p>
      <w:pPr>
        <w:pStyle w:val="ListBullet"/>
      </w:pPr>
      <w:r>
        <w:t>Kein Verdachtsmoment für eine unlautere Handlung.</w:t>
      </w:r>
    </w:p>
    <w:p>
      <w:pPr>
        <w:jc w:val="left"/>
      </w:pPr>
      <w:r>
        <w:t>Keine rechtlich angreifbare Tatsachenbehauptung erkennbar; es handelt sich um eine subjektive Meinungsäußerung (Art. 5 Abs. 1 GG). Kein Anlass für rechtliche Gegenwehr.</w:t>
      </w:r>
    </w:p>
    <w:p>
      <w:pPr>
        <w:pStyle w:val="Heading3"/>
      </w:pPr>
      <w:r>
        <w:rPr>
          <w:rFonts w:ascii="Times New Roman" w:hAnsi="Times New Roman"/>
        </w:rPr>
        <w:t>Kanzleiantwort auf der Plattform (02.05.2026)</w:t>
      </w:r>
    </w:p>
    <w:p>
      <w:pPr>
        <w:ind w:left="567"/>
      </w:pPr>
      <w:r>
        <w:rPr>
          <w:i/>
        </w:rPr>
        <w:t>„Sehr geehrter Herr Hagenbroich, es tut uns leid, dass Sie mit Ihrem Besuch unzufrieden waren. Wir haben Ihr Anliegen sorgfältig geprüft und konnten eine Mandatierung aus sachlichen Gründen leider nicht vornehmen. Dabei wurden Sie selbstverständlich auf Beratungshilfemöglichkeiten hingewiesen, die eine kostengünstige Lösung für Sie ermöglichen könnten. Wir wünschen Ihnen alles Gute. — Roosendaal &amp; Tannenfels Rechtsanwälte PartmbB"</w:t>
      </w:r>
    </w:p>
    <w:p>
      <w:pPr>
        <w:pStyle w:val="Heading3"/>
      </w:pPr>
      <w:r>
        <w:rPr>
          <w:rFonts w:ascii="Times New Roman" w:hAnsi="Times New Roman"/>
        </w:rPr>
        <w:t>Fazit</w:t>
      </w:r>
    </w:p>
    <w:p>
      <w:pPr>
        <w:jc w:val="left"/>
      </w:pPr>
      <w:r>
        <w:t>Kein weiterer Handlungsbedarf. Die Antwort ist sachlich und professionell. Keine persönlichen Mandantendetails wurden offenbart (Verschwiegenheitspflicht gewahrt).</w:t>
      </w:r>
    </w:p>
    <w:p/>
    <w:p>
      <w:pPr>
        <w:pStyle w:val="Heading2"/>
      </w:pPr>
      <w:r>
        <w:rPr>
          <w:rFonts w:ascii="Times New Roman" w:hAnsi="Times New Roman"/>
        </w:rPr>
        <w:t>4. Gesamtbewertung Mandantenzufriedenheit Q2/2026</w:t>
      </w:r>
    </w:p>
    <w:p>
      <w:pPr>
        <w:jc w:val="left"/>
      </w:pPr>
      <w:r>
        <w:t>Durchschnitt Feedback-Bögen: (4,75 + 3,25 + 5,00) / 3 = 4,33/5</w:t>
      </w:r>
    </w:p>
    <w:p>
      <w:pPr>
        <w:jc w:val="left"/>
      </w:pPr>
      <w:r>
        <w:t>Positiv: Schnelle Reaktionszeiten, Verständlichkeit der Beratung.</w:t>
      </w:r>
    </w:p>
    <w:p>
      <w:pPr>
        <w:jc w:val="left"/>
      </w:pPr>
      <w:r>
        <w:t>Verbesserungspotenzial: Honorarvereinbarung-Prozess (Pellbach-Feedback), DSGVO-Webformular, Konfliktcheck-Effizienz.</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Roosendaal &amp; Tannenfels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ROOSENDAAL &amp; TANNENFELS RECHTSANWÄLTE</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