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01 — Mandatsaufnahme und Erstnotiz</w:t>
      </w:r>
    </w:p>
    <w:p>
      <w:pPr>
        <w:jc w:val="left"/>
      </w:pPr>
      <w:r>
        <w:rPr>
          <w:b/>
        </w:rPr>
        <w:t>Kanzlei:</w:t>
      </w:r>
      <w:r>
        <w:t xml:space="preserve"> Dr. Volkmar Trautmann &amp; Coll., Patentanwälte und Rechtsanwälte, Q 7 15, 68161 Mannheim</w:t>
      </w:r>
    </w:p>
    <w:p>
      <w:pPr>
        <w:jc w:val="left"/>
      </w:pPr>
      <w:r>
        <w:rPr>
          <w:b/>
        </w:rPr>
        <w:t>Sachbearbeiter:</w:t>
      </w:r>
      <w:r>
        <w:t xml:space="preserve"> RA Philipp Mertens-Waldhausen</w:t>
      </w:r>
    </w:p>
    <w:p>
      <w:pPr>
        <w:jc w:val="left"/>
      </w:pPr>
      <w:r>
        <w:rPr>
          <w:b/>
        </w:rPr>
        <w:t>Datum:</w:t>
      </w:r>
      <w:r>
        <w:t xml:space="preserve"> 14. April 2026</w:t>
      </w:r>
    </w:p>
    <w:p>
      <w:pPr>
        <w:jc w:val="left"/>
      </w:pPr>
      <w:r>
        <w:rPr>
          <w:b/>
        </w:rPr>
        <w:t>Mandantin:</w:t>
      </w:r>
      <w:r>
        <w:t xml:space="preserve"> Leichtenstein Gartenkultur Manufaktur GmbH, Neckarstraße 118, 69412 Eberbach am Neckar</w:t>
      </w:r>
    </w:p>
    <w:p>
      <w:pPr>
        <w:jc w:val="left"/>
      </w:pPr>
      <w:r>
        <w:rPr>
          <w:b/>
        </w:rPr>
        <w:t>Gesprächsteilnehmer:</w:t>
      </w:r>
      <w:r>
        <w:t xml:space="preserve"> Reinhilde Leichtenstein-Bauernfeind (GF), Betriebsleiter Horst Schäuble-Grundmann</w:t>
      </w:r>
    </w:p>
    <w:p/>
    <w:p>
      <w:pPr>
        <w:pStyle w:val="Heading2"/>
      </w:pPr>
      <w:r>
        <w:rPr>
          <w:rFonts w:ascii="Times New Roman" w:hAnsi="Times New Roman"/>
        </w:rPr>
        <w:t>1. Erstkontakt und Mandatserteilung</w:t>
      </w:r>
    </w:p>
    <w:p>
      <w:pPr>
        <w:jc w:val="left"/>
      </w:pPr>
      <w:r>
        <w:t>Die Mandantin hat sich am 09. April 2026 telefonisch gemeldet, nachdem ihr Vertriebsmitarbeiter Franz-Josef Kellner beim Discounter FlowerWorld AG (Filiale Heidelberg, Kurfürsten-Anlage 58) eine stand-alone-Gartendekoration in Aluminiumguss entdeckt hatte, die der geschützten EU-3D-Marke der Mandantin zum Verwechseln ähnlich sieht. Geschäftsführerin Reinhilde Leichtenstein-Bauernfeind erschien am 14. April 2026 persönlich zur Erstbesprechung.</w:t>
      </w:r>
    </w:p>
    <w:p>
      <w:pPr>
        <w:jc w:val="left"/>
      </w:pPr>
      <w:r>
        <w:t>Vollmacht wurde erteilt und unterzeichnet (vgl. Anlage A-1). Die Mandantin erteilt das Mandat sowohl für das Verletzungsverfahren gegen FlowerWorld AG als auch für die Verteidigung im EUIPO-Nichtigkeitsverfahren, das Bouqart Italia S.r.l. kurz zuvor eingeleitet hatte.</w:t>
      </w:r>
    </w:p>
    <w:p>
      <w:pPr>
        <w:pStyle w:val="Heading2"/>
      </w:pPr>
      <w:r>
        <w:rPr>
          <w:rFonts w:ascii="Times New Roman" w:hAnsi="Times New Roman"/>
        </w:rPr>
        <w:t>2. Sachverhaltsaufnahme</w:t>
      </w:r>
    </w:p>
    <w:p>
      <w:pPr>
        <w:pStyle w:val="Heading3"/>
      </w:pPr>
      <w:r>
        <w:rPr>
          <w:rFonts w:ascii="Times New Roman" w:hAnsi="Times New Roman"/>
        </w:rPr>
        <w:t>2.1 Das Unternehmen</w:t>
      </w:r>
    </w:p>
    <w:p>
      <w:pPr>
        <w:jc w:val="left"/>
      </w:pPr>
      <w:r>
        <w:t>Leichtenstein Gartenkultur Manufaktur GmbH wurde 1991 von der Familie Leichtenstein-Bauernfeind in Eberbach am Neckar gegründet. Das Unternehmen beschäftigt 28 Mitarbeiter. Kernprodukt ist eine kunstvolle gusseiserne Rosenbluete, die als freistehende Gartendekoration sowie als Wandapplikation angeboten wird. Das Produkt ist seit Jahren ein überregional bekanntes Qualitätsstück im gehobenen Gartendekosegment (Verkaufspreise 189 bis 420 EUR pro Stück je nach Variante und Veredelung). Der Jahresumsatz der GmbH lag 2025 bei rund 3,8 Millionen EUR, davon entfällt ca. 61 % auf die Rosenbluete-Produktlinie.</w:t>
      </w:r>
    </w:p>
    <w:p>
      <w:pPr>
        <w:jc w:val="left"/>
      </w:pPr>
      <w:r>
        <w:t>Die Fertigung erfolgt ausschließlich am Stammsitz Eberbach; Guss, Oberflächenbehandlung und Endmontage sind intern. Ein Lizenzvertrag mit Fonderie Roussel SAS (Saint-Étienne, Frankreich) erlaubte die dortige Fertigung und den Vertrieb in Frankreich und Benelux, dieser Vertrag wird aktuell streitig abgewickelt (vgl. Aktenstück 14).</w:t>
      </w:r>
    </w:p>
    <w:p>
      <w:pPr>
        <w:pStyle w:val="Heading3"/>
      </w:pPr>
      <w:r>
        <w:rPr>
          <w:rFonts w:ascii="Times New Roman" w:hAnsi="Times New Roman"/>
        </w:rPr>
        <w:t>2.2 Die Schutzrechte</w:t>
      </w:r>
    </w:p>
    <w:p>
      <w:pPr>
        <w:jc w:val="left"/>
      </w:pPr>
      <w:r>
        <w:t>Die Mandantin hält folgende relevante gewerbliche Schutzrechte: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Recht</w:t>
            </w:r>
          </w:p>
        </w:tc>
        <w:tc>
          <w:tcPr>
            <w:tcW w:type="dxa" w:w="2268"/>
          </w:tcPr>
          <w:p>
            <w:r>
              <w:rPr>
                <w:rFonts w:ascii="Times New Roman" w:hAnsi="Times New Roman"/>
                <w:b/>
                <w:sz w:val="20"/>
              </w:rPr>
              <w:t>Nummer</w:t>
            </w:r>
          </w:p>
        </w:tc>
        <w:tc>
          <w:tcPr>
            <w:tcW w:type="dxa" w:w="2268"/>
          </w:tcPr>
          <w:p>
            <w:r>
              <w:rPr>
                <w:rFonts w:ascii="Times New Roman" w:hAnsi="Times New Roman"/>
                <w:b/>
                <w:sz w:val="20"/>
              </w:rPr>
              <w:t>Eingetragen</w:t>
            </w:r>
          </w:p>
        </w:tc>
        <w:tc>
          <w:tcPr>
            <w:tcW w:type="dxa" w:w="2268"/>
          </w:tcPr>
          <w:p>
            <w:r>
              <w:rPr>
                <w:rFonts w:ascii="Times New Roman" w:hAnsi="Times New Roman"/>
                <w:b/>
                <w:sz w:val="20"/>
              </w:rPr>
              <w:t>Status</w:t>
            </w:r>
          </w:p>
        </w:tc>
      </w:tr>
      <w:tr>
        <w:tc>
          <w:tcPr>
            <w:tcW w:type="dxa" w:w="2268"/>
          </w:tcPr>
          <w:p>
            <w:r>
              <w:rPr>
                <w:rFonts w:ascii="Times New Roman" w:hAnsi="Times New Roman"/>
                <w:sz w:val="20"/>
              </w:rPr>
              <w:t>EU-3D-Marke (EUIPO)</w:t>
            </w:r>
          </w:p>
        </w:tc>
        <w:tc>
          <w:tcPr>
            <w:tcW w:type="dxa" w:w="2268"/>
          </w:tcPr>
          <w:p>
            <w:r>
              <w:rPr>
                <w:rFonts w:ascii="Times New Roman" w:hAnsi="Times New Roman"/>
                <w:sz w:val="20"/>
              </w:rPr>
              <w:t>018 977 412</w:t>
            </w:r>
          </w:p>
        </w:tc>
        <w:tc>
          <w:tcPr>
            <w:tcW w:type="dxa" w:w="2268"/>
          </w:tcPr>
          <w:p>
            <w:r>
              <w:rPr>
                <w:rFonts w:ascii="Times New Roman" w:hAnsi="Times New Roman"/>
                <w:sz w:val="20"/>
              </w:rPr>
              <w:t>22.06.2019</w:t>
            </w:r>
          </w:p>
        </w:tc>
        <w:tc>
          <w:tcPr>
            <w:tcW w:type="dxa" w:w="2268"/>
          </w:tcPr>
          <w:p>
            <w:r>
              <w:rPr>
                <w:rFonts w:ascii="Times New Roman" w:hAnsi="Times New Roman"/>
                <w:sz w:val="20"/>
              </w:rPr>
              <w:t>Eingetragen, Nichtigkeitsantrag anhängig</w:t>
            </w:r>
          </w:p>
        </w:tc>
      </w:tr>
      <w:tr>
        <w:tc>
          <w:tcPr>
            <w:tcW w:type="dxa" w:w="2268"/>
          </w:tcPr>
          <w:p>
            <w:r>
              <w:rPr>
                <w:rFonts w:ascii="Times New Roman" w:hAnsi="Times New Roman"/>
                <w:sz w:val="20"/>
              </w:rPr>
              <w:t>EU-Geschmacksmuster (EUIPO)</w:t>
            </w:r>
          </w:p>
        </w:tc>
        <w:tc>
          <w:tcPr>
            <w:tcW w:type="dxa" w:w="2268"/>
          </w:tcPr>
          <w:p>
            <w:r>
              <w:rPr>
                <w:rFonts w:ascii="Times New Roman" w:hAnsi="Times New Roman"/>
                <w:sz w:val="20"/>
              </w:rPr>
              <w:t>008 412 661-0001</w:t>
            </w:r>
          </w:p>
        </w:tc>
        <w:tc>
          <w:tcPr>
            <w:tcW w:type="dxa" w:w="2268"/>
          </w:tcPr>
          <w:p>
            <w:r>
              <w:rPr>
                <w:rFonts w:ascii="Times New Roman" w:hAnsi="Times New Roman"/>
                <w:sz w:val="20"/>
              </w:rPr>
              <w:t>15.03.2018</w:t>
            </w:r>
          </w:p>
        </w:tc>
        <w:tc>
          <w:tcPr>
            <w:tcW w:type="dxa" w:w="2268"/>
          </w:tcPr>
          <w:p>
            <w:r>
              <w:rPr>
                <w:rFonts w:ascii="Times New Roman" w:hAnsi="Times New Roman"/>
                <w:sz w:val="20"/>
              </w:rPr>
              <w:t>Eingetragen, Neuheit bestritten</w:t>
            </w:r>
          </w:p>
        </w:tc>
      </w:tr>
      <w:tr>
        <w:tc>
          <w:tcPr>
            <w:tcW w:type="dxa" w:w="2268"/>
          </w:tcPr>
          <w:p>
            <w:r>
              <w:rPr>
                <w:rFonts w:ascii="Times New Roman" w:hAnsi="Times New Roman"/>
                <w:sz w:val="20"/>
              </w:rPr>
              <w:t>DE-Marke (DPMA)</w:t>
            </w:r>
          </w:p>
        </w:tc>
        <w:tc>
          <w:tcPr>
            <w:tcW w:type="dxa" w:w="2268"/>
          </w:tcPr>
          <w:p>
            <w:r>
              <w:rPr>
                <w:rFonts w:ascii="Times New Roman" w:hAnsi="Times New Roman"/>
                <w:sz w:val="20"/>
              </w:rPr>
              <w:t>30 2026 011 442</w:t>
            </w:r>
          </w:p>
        </w:tc>
        <w:tc>
          <w:tcPr>
            <w:tcW w:type="dxa" w:w="2268"/>
          </w:tcPr>
          <w:p>
            <w:r>
              <w:rPr>
                <w:rFonts w:ascii="Times New Roman" w:hAnsi="Times New Roman"/>
                <w:sz w:val="20"/>
              </w:rPr>
              <w:t>08.01.2026</w:t>
            </w:r>
          </w:p>
        </w:tc>
        <w:tc>
          <w:tcPr>
            <w:tcW w:type="dxa" w:w="2268"/>
          </w:tcPr>
          <w:p>
            <w:r>
              <w:rPr>
                <w:rFonts w:ascii="Times New Roman" w:hAnsi="Times New Roman"/>
                <w:sz w:val="20"/>
              </w:rPr>
              <w:t>Eingetragen</w:t>
            </w:r>
          </w:p>
        </w:tc>
      </w:tr>
      <w:tr>
        <w:tc>
          <w:tcPr>
            <w:tcW w:type="dxa" w:w="2268"/>
          </w:tcPr>
          <w:p>
            <w:r>
              <w:rPr>
                <w:rFonts w:ascii="Times New Roman" w:hAnsi="Times New Roman"/>
                <w:sz w:val="20"/>
              </w:rPr>
              <w:t>DE-Marke (Wortmarke) „Leichtenstein Rosenbluete"</w:t>
            </w:r>
          </w:p>
        </w:tc>
        <w:tc>
          <w:tcPr>
            <w:tcW w:type="dxa" w:w="2268"/>
          </w:tcPr>
          <w:p>
            <w:r>
              <w:rPr>
                <w:rFonts w:ascii="Times New Roman" w:hAnsi="Times New Roman"/>
                <w:sz w:val="20"/>
              </w:rPr>
              <w:t>30 2018 044 781</w:t>
            </w:r>
          </w:p>
        </w:tc>
        <w:tc>
          <w:tcPr>
            <w:tcW w:type="dxa" w:w="2268"/>
          </w:tcPr>
          <w:p>
            <w:r>
              <w:rPr>
                <w:rFonts w:ascii="Times New Roman" w:hAnsi="Times New Roman"/>
                <w:sz w:val="20"/>
              </w:rPr>
              <w:t>11.04.2018</w:t>
            </w:r>
          </w:p>
        </w:tc>
        <w:tc>
          <w:tcPr>
            <w:tcW w:type="dxa" w:w="2268"/>
          </w:tcPr>
          <w:p>
            <w:r>
              <w:rPr>
                <w:rFonts w:ascii="Times New Roman" w:hAnsi="Times New Roman"/>
                <w:sz w:val="20"/>
              </w:rPr>
              <w:t>Eingetragen</w:t>
            </w:r>
          </w:p>
        </w:tc>
      </w:tr>
    </w:tbl>
    <w:p>
      <w:pPr>
        <w:jc w:val="left"/>
      </w:pPr>
      <w:r>
        <w:t>Die EU-3D-Marke schützt die dreidimensionale Gestaltung einer gusseisernen Rosenbluete mit geöffneten Blütenblättern, stilisiertem Kelchblattansatz und charakteristischem Stielschaft in der Gesamtproportionierung. Die Marke ist für die Warenklasse 20 (Dekorationsartikel aus Metall) und Klasse 27 (Gartendekorationen) eingetragen.</w:t>
      </w:r>
    </w:p>
    <w:p>
      <w:pPr>
        <w:pStyle w:val="Heading3"/>
      </w:pPr>
      <w:r>
        <w:rPr>
          <w:rFonts w:ascii="Times New Roman" w:hAnsi="Times New Roman"/>
        </w:rPr>
        <w:t>2.3 Der Verletzungssachverhalt FlowerWorld AG</w:t>
      </w:r>
    </w:p>
    <w:p>
      <w:pPr>
        <w:jc w:val="left"/>
      </w:pPr>
      <w:r>
        <w:t>Seit März 2026 vertreibt die Discounter-Kette FlowerWorld AG (Hamburg, börsennotiert) eine Aluminium-Gartendekoration unter der Bezeichnung „Garden Rose Bloom" (EAN 4 017 600 188 372). Das Produkt ist in allen Filialen der Kette (bundesweit ca. 340 Standorte) sowie im Online-Shop (flowerworld.de) zum Preis von 24,99 EUR erhältlich.</w:t>
      </w:r>
    </w:p>
    <w:p>
      <w:pPr>
        <w:jc w:val="left"/>
      </w:pPr>
      <w:r>
        <w:t>Ein Vergleich des angegriffenen Erzeugnisses mit der eingetragenen 3D-Marke zeigt:</w:t>
      </w:r>
    </w:p>
    <w:p>
      <w:pPr>
        <w:pStyle w:val="ListBullet"/>
      </w:pPr>
      <w:r>
        <w:t>Identische Grundproportionen der Blütenform (Durchmesser Blütenkopf: 18 cm vs. 18,5 cm beim Original)</w:t>
      </w:r>
    </w:p>
    <w:p>
      <w:pPr>
        <w:pStyle w:val="ListBullet"/>
      </w:pPr>
      <w:r>
        <w:t>Nahezu gleiche Anzahl und Anordnung der Blütenblätter (15 Blütenblätter in zwei Lagen)</w:t>
      </w:r>
    </w:p>
    <w:p>
      <w:pPr>
        <w:pStyle w:val="ListBullet"/>
      </w:pPr>
      <w:r>
        <w:t>Stielschaft mit identischem S-förmigem Schwung und vergleichbarer Blattattrappe auf halber Höhe</w:t>
      </w:r>
    </w:p>
    <w:p>
      <w:pPr>
        <w:pStyle w:val="ListBullet"/>
      </w:pPr>
      <w:r>
        <w:t>Lediglich das Material (Aluminium statt Gusseisen) und die Farbe (weiß lackiert statt patiniert-schwarz) weichen ab.</w:t>
      </w:r>
    </w:p>
    <w:p>
      <w:pPr>
        <w:jc w:val="left"/>
      </w:pPr>
      <w:r>
        <w:t>Frau Leichtenstein-Bauernfeind legte der Kanzlei drei Testexemplare vor. Der Fotovergleich ist in Aktenstück 18 dokumentiert. Eine eidesstattliche Versicherung von Kellner über den Testkauf wird vorbereitet.</w:t>
      </w:r>
    </w:p>
    <w:p>
      <w:pPr>
        <w:pStyle w:val="Heading3"/>
      </w:pPr>
      <w:r>
        <w:rPr>
          <w:rFonts w:ascii="Times New Roman" w:hAnsi="Times New Roman"/>
        </w:rPr>
        <w:t>2.4 EUIPO-Nichtigkeitsantrag Bouqart Italia</w:t>
      </w:r>
    </w:p>
    <w:p>
      <w:pPr>
        <w:jc w:val="left"/>
      </w:pPr>
      <w:r>
        <w:t>Unter dem Aktenzeichen EUIPO BoA R 1322/26-2 hat Bouqart Italia S.r.l. (Modena, Via del Commercio 44) einen Antrag auf Nichtigerklärung der EU-3D-Marke 018 977 412 gestellt. Begründung: mangelnde Unterscheidungskraft (Art. 7 Abs. 1 lit. b UMV) sowie mangelnde grafische Darstellbarkeit. Das EUIPO hatte den Antrag zunächst der Nichtigkeitsabteilung vorgelegt; nach Ablehnung durch die Nichtigkeitsabteilung hat Bouqart Beschwerde eingelegt, die nunmehr beim Board of Appeal anhängig ist.</w:t>
      </w:r>
    </w:p>
    <w:p>
      <w:pPr>
        <w:pStyle w:val="Heading3"/>
      </w:pPr>
      <w:r>
        <w:rPr>
          <w:rFonts w:ascii="Times New Roman" w:hAnsi="Times New Roman"/>
        </w:rPr>
        <w:t>2.5 Weiteres</w:t>
      </w:r>
    </w:p>
    <w:p>
      <w:pPr>
        <w:pStyle w:val="ListBullet"/>
      </w:pPr>
      <w:r>
        <w:rPr>
          <w:b/>
        </w:rPr>
        <w:t>Designrechtsstreit:</w:t>
      </w:r>
      <w:r>
        <w:t xml:space="preserve"> Bouqart bestreitet zusätzlich die Neuheit des EU-Geschmacksmusters und verweist auf einen Vintage-Katalog des französischen Gießereibetrieb Lefèvre &amp; Cie. aus dem Jahr 1962.</w:t>
      </w:r>
    </w:p>
    <w:p>
      <w:pPr>
        <w:pStyle w:val="ListBullet"/>
      </w:pPr>
      <w:r>
        <w:rPr>
          <w:b/>
        </w:rPr>
        <w:t>UWG-Streit RosenGarten24.de:</w:t>
      </w:r>
      <w:r>
        <w:t xml:space="preserve"> Betreiber Maximilian Huberth-Schwager aus München vermarktet Gartendeko unter Nutzung der geschützten Rosenbluete-Optik in sozialen Medien; Abmahnverfahren läuft.</w:t>
      </w:r>
    </w:p>
    <w:p>
      <w:pPr>
        <w:pStyle w:val="ListBullet"/>
      </w:pPr>
      <w:r>
        <w:rPr>
          <w:b/>
        </w:rPr>
        <w:t>Lizenzstreit Fonderie Roussel SAS:</w:t>
      </w:r>
      <w:r>
        <w:t xml:space="preserve"> Kündigung des Lizenzvertrags durch Leichtenstein wegen Vertragsverstößen; Fonderie Roussel bestreitet die Kündigung und möchte Restbestand von 4.200 Stück abverkaufen.</w:t>
      </w:r>
    </w:p>
    <w:p>
      <w:pPr>
        <w:pStyle w:val="ListBullet"/>
      </w:pPr>
      <w:r>
        <w:rPr>
          <w:b/>
        </w:rPr>
        <w:t>Domain-Streit:</w:t>
      </w:r>
      <w:r>
        <w:t xml:space="preserve"> Unbekannter Dritter hat </w:t>
      </w:r>
      <w:r>
        <w:t>rosenmanufaktur.de</w:t>
      </w:r>
      <w:r>
        <w:t xml:space="preserve"> registriert und bietet dort ähnliche Produkte an.</w:t>
      </w:r>
    </w:p>
    <w:p>
      <w:pPr>
        <w:pStyle w:val="Heading2"/>
      </w:pPr>
      <w:r>
        <w:rPr>
          <w:rFonts w:ascii="Times New Roman" w:hAnsi="Times New Roman"/>
        </w:rPr>
        <w:t>3. Erstmaßnahmen und Priorisierung</w:t>
      </w:r>
    </w:p>
    <w:p>
      <w:pPr>
        <w:pStyle w:val="Heading3"/>
      </w:pPr>
      <w:r>
        <w:rPr>
          <w:rFonts w:ascii="Times New Roman" w:hAnsi="Times New Roman"/>
        </w:rPr>
        <w:t>Sofortmaßnahmen (binnen 14 Tagen)</w:t>
      </w:r>
    </w:p>
    <w:p>
      <w:pPr>
        <w:pStyle w:val="ListNumber"/>
      </w:pPr>
      <w:r>
        <w:t>Antrag auf einstweilige Verfügung gegen FlowerWorld AG beim LG Mannheim (zuständig für Handelssachen am Sitz der Beklagten: LG Hamburg wäre Heimgericht; hier: Wahlgerichtsstand Mannheim nach § 14 MarkenG am Ort der Verletzungshandlung).</w:t>
      </w:r>
    </w:p>
    <w:p>
      <w:pPr>
        <w:pStyle w:val="ListNumber"/>
      </w:pPr>
      <w:r>
        <w:t>Sicherung der Beweise: Testkäufe in weiteren Filialen, Printscreens Online-Shop, Gutachterbeauftragung für Vergleichsgutachten.</w:t>
      </w:r>
    </w:p>
    <w:p>
      <w:pPr>
        <w:pStyle w:val="ListNumber"/>
      </w:pPr>
      <w:r>
        <w:t>Einholung einer Auskunft beim EUIPO über den aktuellen Stand des Beschwerdeverfahrens R 1322/26-2.</w:t>
      </w:r>
    </w:p>
    <w:p>
      <w:pPr>
        <w:pStyle w:val="Heading3"/>
      </w:pPr>
      <w:r>
        <w:rPr>
          <w:rFonts w:ascii="Times New Roman" w:hAnsi="Times New Roman"/>
        </w:rPr>
        <w:t>Mittelfristige Maßnahmen (binnen 4 Wochen)</w:t>
      </w:r>
    </w:p>
    <w:p>
      <w:pPr>
        <w:pStyle w:val="ListNumber"/>
      </w:pPr>
      <w:r>
        <w:t>Klageerhebung LG Mannheim, Aktenzeichen beantragen.</w:t>
      </w:r>
    </w:p>
    <w:p>
      <w:pPr>
        <w:pStyle w:val="ListNumber"/>
      </w:pPr>
      <w:r>
        <w:t>Stellungnahme zum EUIPO-Nichtigkeitsverfahren, Nachweis der Verkehrsdurchsetzung vorbereiten.</w:t>
      </w:r>
    </w:p>
    <w:p>
      <w:pPr>
        <w:pStyle w:val="ListNumber"/>
      </w:pPr>
      <w:r>
        <w:t>Abmahnung RosenGarten24.de mit Unterlassungserklärung nach § 8 UWG.</w:t>
      </w:r>
    </w:p>
    <w:p>
      <w:pPr>
        <w:pStyle w:val="ListNumber"/>
      </w:pPr>
      <w:r>
        <w:t xml:space="preserve">DENIC-Dispute-Antrag für </w:t>
      </w:r>
      <w:r>
        <w:t>rosenmanufaktur.de</w:t>
      </w:r>
      <w:r>
        <w:t>.</w:t>
      </w:r>
    </w:p>
    <w:p>
      <w:pPr>
        <w:pStyle w:val="Heading3"/>
      </w:pPr>
      <w:r>
        <w:rPr>
          <w:rFonts w:ascii="Times New Roman" w:hAnsi="Times New Roman"/>
        </w:rPr>
        <w:t>Strategischer Rahmen</w:t>
      </w:r>
    </w:p>
    <w:p>
      <w:pPr>
        <w:jc w:val="left"/>
      </w:pPr>
      <w:r>
        <w:t>Das Gesamtmandat ist komplex und erfordert enge Abstimmung zwischen Patentanwalt Dr. Trautmann (EUIPO-Verfahren) und Rechtsanwalt Mertens-Waldhausen (LG Mannheim, OLG Karlsruhe). Ein wöchentlicher Jour-Fixe mit der Mandantin wird vereinbart (dienstags, 10:00 Uhr).</w:t>
      </w:r>
    </w:p>
    <w:p>
      <w:pPr>
        <w:pStyle w:val="Heading2"/>
      </w:pPr>
      <w:r>
        <w:rPr>
          <w:rFonts w:ascii="Times New Roman" w:hAnsi="Times New Roman"/>
        </w:rPr>
        <w:t>4. Kostenrahmen und Honorarvereinbarung</w:t>
      </w:r>
    </w:p>
    <w:p>
      <w:pPr>
        <w:jc w:val="left"/>
      </w:pPr>
      <w:r>
        <w:t>Es wurde eine Vergütungsvereinbarung nach RVG-Rahmengebühren mit einem Stundensatz von 310 EUR (zuzüglich MwSt.) für RA Mertens-Waldhausen und 380 EUR für PA Dr. Trautmann abgeschlossen. Für das eV-Verfahren wird ein vorläufiger Streitwert von 250.000 EUR angesetzt. Für das Verletzungshauptverfahren ist von einem Streitwert von mindestens 500.000 EUR auszugehen (vgl. §§ 51 ff. GKG; üblicher Ansatz in Markenstreitsachen nach BGHZ-Praxis).</w:t>
      </w:r>
    </w:p>
    <w:p>
      <w:pPr>
        <w:jc w:val="left"/>
      </w:pPr>
      <w:r>
        <w:t>Ein Prozesskostenvorschuss von 15.000 EUR wird von der Mandantin bis zum 21. April 2026 überwiesen.</w:t>
      </w:r>
    </w:p>
    <w:p/>
    <w:p>
      <w:pPr>
        <w:jc w:val="left"/>
      </w:pPr>
      <w:r>
        <w:rPr>
          <w:b/>
        </w:rPr>
        <w:t>Nächster Besprechungstermin:</w:t>
      </w:r>
      <w:r>
        <w:t xml:space="preserve"> 21. April 2026, 10:00 Uhr</w:t>
      </w:r>
    </w:p>
    <w:p>
      <w:pPr>
        <w:jc w:val="left"/>
      </w:pPr>
      <w:r>
        <w:rPr>
          <w:b/>
        </w:rPr>
        <w:t>Bearbeiter:</w:t>
      </w:r>
      <w:r>
        <w:t xml:space="preserve"> RA Philipp Mertens-Waldhausen</w:t>
      </w:r>
    </w:p>
    <w:p>
      <w:pPr>
        <w:jc w:val="left"/>
      </w:pPr>
      <w:r>
        <w:rPr>
          <w:b/>
        </w:rPr>
        <w:t>Abzeichnung:</w:t>
      </w:r>
      <w:r>
        <w:t xml:space="preserve"> PA Dr. Volkmar Trautmann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Leichtenstein Gartenkultur Manufaktur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Leichtenstein Gartenkultur Manufaktur GmbH</w:t>
    </w:r>
  </w:p>
  <w:p>
    <w:pPr>
      <w:jc w:val="left"/>
      <w:pBdr>
        <w:bottom w:val="single" w:sz="6" w:space="2" w:color="1F3864"/>
      </w:pBdr>
    </w:pPr>
    <w:r>
      <w:rPr>
        <w:rFonts w:ascii="Times New Roman" w:hAnsi="Times New Roman"/>
        <w:color w:val="6B6B66"/>
        <w:sz w:val="16"/>
      </w:rPr>
      <w:t>Neckarstraße 118, 69412 Eberbach am Neckar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