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 Verletzungsanalyse: FlowerWorld AG — Verwechslungsgefahr und § 14 MarkenG</w:t>
      </w:r>
    </w:p>
    <w:p>
      <w:pPr>
        <w:jc w:val="left"/>
      </w:pPr>
      <w:r>
        <w:rPr>
          <w:b/>
        </w:rPr>
        <w:t>Bearbeiter:</w:t>
      </w:r>
      <w:r>
        <w:t xml:space="preserve"> RA Philipp Mertens-Waldhausen</w:t>
      </w:r>
    </w:p>
    <w:p>
      <w:pPr>
        <w:jc w:val="left"/>
      </w:pPr>
      <w:r>
        <w:rPr>
          <w:b/>
        </w:rPr>
        <w:t>Datum:</w:t>
      </w:r>
      <w:r>
        <w:t xml:space="preserve"> 19. April 2026</w:t>
      </w:r>
    </w:p>
    <w:p>
      <w:pPr>
        <w:jc w:val="left"/>
      </w:pPr>
      <w:r>
        <w:rPr>
          <w:b/>
        </w:rPr>
        <w:t>Verfahren:</w:t>
      </w:r>
      <w:r>
        <w:t xml:space="preserve"> LG Mannheim 7 O 88/26 (Hauptsacheklage und eV-Verfahren)</w:t>
      </w:r>
    </w:p>
    <w:p/>
    <w:p>
      <w:pPr>
        <w:pStyle w:val="Heading2"/>
      </w:pPr>
      <w:r>
        <w:rPr>
          <w:rFonts w:ascii="Times New Roman" w:hAnsi="Times New Roman"/>
        </w:rPr>
        <w:t>1. Sachverhalt und Verletzungsgegenstand</w:t>
      </w:r>
    </w:p>
    <w:p>
      <w:pPr>
        <w:jc w:val="left"/>
      </w:pPr>
      <w:r>
        <w:t>Die FlowerWorld AG (Sitz: Alsterchaussee 112, 20149 Hamburg; HRB Hamburg 98 744; Vorstand: Lars Dittmann-Sörensen, Britta Halmenschlager) vertreibt seit Anfang März 2026 in allen bundesweit ca. 340 Filialen sowie im Online-Shop unter flowerworld.de eine Gartendekoration unter der Produktbezeichnung „Garden Rose Bloom" (Artikel-Nr. FW-GRB-2026-AL, EAN 4 017 600 188 372) zu einem Verkaufspreis von 24,99 EUR.</w:t>
      </w:r>
    </w:p>
    <w:p>
      <w:pPr>
        <w:jc w:val="left"/>
      </w:pPr>
      <w:r>
        <w:t>Testexemplare wurden am 10. April 2026 durch den Mitarbeiter Franz-Josef Kellner in der FlowerWorld-Filiale Heidelberg, Kurfürsten-Anlage 58, sowie am 13. April 2026 durch Rechtsanwalt Mertens-Waldhausen persönlich in der Filiale Mannheim-Neckarau, Rheingoldstraße 22, erworben (Kassenbons und Fotos in Anlage C-1 und C-2).</w:t>
      </w:r>
    </w:p>
    <w:p>
      <w:pPr>
        <w:jc w:val="left"/>
      </w:pPr>
      <w:r>
        <w:t>Ein weiteres Exemplar wurde am 14. April 2026 über den Online-Shop bestellt und am 17. April 2026 geliefert (Anlage C-3: Lieferschein, Verpackungsfoto, Produktfoto).</w:t>
      </w:r>
    </w:p>
    <w:p>
      <w:pPr>
        <w:pStyle w:val="Heading2"/>
      </w:pPr>
      <w:r>
        <w:rPr>
          <w:rFonts w:ascii="Times New Roman" w:hAnsi="Times New Roman"/>
        </w:rPr>
        <w:t>2. Verletzungsrechtliche Prüfung nach § 14 MarkenG / Art. 9 UMV</w:t>
      </w:r>
    </w:p>
    <w:p>
      <w:pPr>
        <w:pStyle w:val="Heading3"/>
      </w:pPr>
      <w:r>
        <w:rPr>
          <w:rFonts w:ascii="Times New Roman" w:hAnsi="Times New Roman"/>
        </w:rPr>
        <w:t>2.1 Maßgebliche Rechtsgrundlage</w:t>
      </w:r>
    </w:p>
    <w:p>
      <w:pPr>
        <w:jc w:val="left"/>
      </w:pPr>
      <w:r>
        <w:t>Gemäß § 14 Abs. 2 Nr. 2 MarkenG (Art. 9 Abs. 2 lit. b UMV) ist es Dritten untersagt, ohne Zustimmung des Markeninhabers im geschäftlichen Verkehr ein Zeichen zu benutzen, wenn wegen der Identität oder der Ähnlichkeit des Zeichens mit der Marke und der Identität oder der Ähnlichkeit der Waren oder Dienstleistungen für das Publikum die Gefahr von Verwechslungen besteht (Verwechslungsgefahr). Die Verwechslungsgefahr umfasst die Gefahr, dass das Zeichen mit der Marke gedanklich in Verbindung gebracht wird.</w:t>
      </w:r>
    </w:p>
    <w:p>
      <w:pPr>
        <w:jc w:val="left"/>
      </w:pPr>
      <w:r>
        <w:t>Bei dreidimensionalen Marken erfolgt der Zeichenvergleich nach denselben Grundsätzen wie bei anderen Markenformen, jedoch mit der Besonderheit, dass das zu schützende Zeichen selbst dreidimensional und mit dem (ebenfalls dreidimensionalen) Verletzungsgegenstand zu vergleichen ist.</w:t>
      </w:r>
    </w:p>
    <w:p>
      <w:pPr>
        <w:pStyle w:val="Heading3"/>
      </w:pPr>
      <w:r>
        <w:rPr>
          <w:rFonts w:ascii="Times New Roman" w:hAnsi="Times New Roman"/>
        </w:rPr>
        <w:t>2.2 Priorität und Schutzbereich</w:t>
      </w:r>
    </w:p>
    <w:p>
      <w:pPr>
        <w:jc w:val="left"/>
      </w:pPr>
      <w:r>
        <w:t>Die EU-3D-Marke 018 977 412 genießt Priorität ab dem 22. Juni 2019. Das FlowerWorld-Produkt wurde erstmals im März 2026 angeboten — es liegt keine Vorbenutzung vor, die eine Vorbenutzungseinrede gemäß § 22 MarkenG rechtfertigen könnte.</w:t>
      </w:r>
    </w:p>
    <w:p>
      <w:pPr>
        <w:pStyle w:val="Heading3"/>
      </w:pPr>
      <w:r>
        <w:rPr>
          <w:rFonts w:ascii="Times New Roman" w:hAnsi="Times New Roman"/>
        </w:rPr>
        <w:t>2.3 Warenähnlichkeit / Warenidentität</w:t>
      </w:r>
    </w:p>
    <w:p>
      <w:pPr>
        <w:jc w:val="left"/>
      </w:pPr>
      <w:r>
        <w:t>Das angegriffene Erzeugnis ist eine Gartendekoration aus Metall (Aluminium). Die Marke ist für Klasse 20 (Dekorationsgegenstände aus Metall) und Klasse 27 (Gartendekorationen) eingetragen. Es besteht Warenidentität für Klasse 27 und zumindest hochgradige Warenähnlichkeit für Klasse 20. Diese Feststellung begründet bereits für sich ein erhöhtes Verwechslungsgefährdungspotenzial.</w:t>
      </w:r>
    </w:p>
    <w:p>
      <w:pPr>
        <w:pStyle w:val="Heading3"/>
      </w:pPr>
      <w:r>
        <w:rPr>
          <w:rFonts w:ascii="Times New Roman" w:hAnsi="Times New Roman"/>
        </w:rPr>
        <w:t>2.4 Zeichenähnlichkeit — Detaillierter Vergleich</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Merkmal</w:t>
            </w:r>
          </w:p>
        </w:tc>
        <w:tc>
          <w:tcPr>
            <w:tcW w:type="dxa" w:w="2268"/>
          </w:tcPr>
          <w:p>
            <w:r>
              <w:rPr>
                <w:rFonts w:ascii="Times New Roman" w:hAnsi="Times New Roman"/>
                <w:b/>
                <w:sz w:val="20"/>
              </w:rPr>
              <w:t>Leichtenstein-Rosenbluete (Marke)</w:t>
            </w:r>
          </w:p>
        </w:tc>
        <w:tc>
          <w:tcPr>
            <w:tcW w:type="dxa" w:w="2268"/>
          </w:tcPr>
          <w:p>
            <w:r>
              <w:rPr>
                <w:rFonts w:ascii="Times New Roman" w:hAnsi="Times New Roman"/>
                <w:b/>
                <w:sz w:val="20"/>
              </w:rPr>
              <w:t>FlowerWorld „Garden Rose Bloom"</w:t>
            </w:r>
          </w:p>
        </w:tc>
        <w:tc>
          <w:tcPr>
            <w:tcW w:type="dxa" w:w="2268"/>
          </w:tcPr>
          <w:p>
            <w:r>
              <w:rPr>
                <w:rFonts w:ascii="Times New Roman" w:hAnsi="Times New Roman"/>
                <w:b/>
                <w:sz w:val="20"/>
              </w:rPr>
              <w:t>Bewertung</w:t>
            </w:r>
          </w:p>
        </w:tc>
      </w:tr>
      <w:tr>
        <w:tc>
          <w:tcPr>
            <w:tcW w:type="dxa" w:w="2268"/>
          </w:tcPr>
          <w:p>
            <w:r>
              <w:rPr>
                <w:rFonts w:ascii="Times New Roman" w:hAnsi="Times New Roman"/>
                <w:sz w:val="20"/>
              </w:rPr>
              <w:t>Blütenkopfdurchmesser</w:t>
            </w:r>
          </w:p>
        </w:tc>
        <w:tc>
          <w:tcPr>
            <w:tcW w:type="dxa" w:w="2268"/>
          </w:tcPr>
          <w:p>
            <w:r>
              <w:rPr>
                <w:rFonts w:ascii="Times New Roman" w:hAnsi="Times New Roman"/>
                <w:sz w:val="20"/>
              </w:rPr>
              <w:t>18,5 cm</w:t>
            </w:r>
          </w:p>
        </w:tc>
        <w:tc>
          <w:tcPr>
            <w:tcW w:type="dxa" w:w="2268"/>
          </w:tcPr>
          <w:p>
            <w:r>
              <w:rPr>
                <w:rFonts w:ascii="Times New Roman" w:hAnsi="Times New Roman"/>
                <w:sz w:val="20"/>
              </w:rPr>
              <w:t>18,0 cm</w:t>
            </w:r>
          </w:p>
        </w:tc>
        <w:tc>
          <w:tcPr>
            <w:tcW w:type="dxa" w:w="2268"/>
          </w:tcPr>
          <w:p>
            <w:r>
              <w:rPr>
                <w:rFonts w:ascii="Times New Roman" w:hAnsi="Times New Roman"/>
                <w:sz w:val="20"/>
              </w:rPr>
              <w:t>Nahezu identisch</w:t>
            </w:r>
          </w:p>
        </w:tc>
      </w:tr>
      <w:tr>
        <w:tc>
          <w:tcPr>
            <w:tcW w:type="dxa" w:w="2268"/>
          </w:tcPr>
          <w:p>
            <w:r>
              <w:rPr>
                <w:rFonts w:ascii="Times New Roman" w:hAnsi="Times New Roman"/>
                <w:sz w:val="20"/>
              </w:rPr>
              <w:t>Anzahl Blütenblätter (außen)</w:t>
            </w:r>
          </w:p>
        </w:tc>
        <w:tc>
          <w:tcPr>
            <w:tcW w:type="dxa" w:w="2268"/>
          </w:tcPr>
          <w:p>
            <w:r>
              <w:rPr>
                <w:rFonts w:ascii="Times New Roman" w:hAnsi="Times New Roman"/>
                <w:sz w:val="20"/>
              </w:rPr>
              <w:t>8 Blütenblätter</w:t>
            </w:r>
          </w:p>
        </w:tc>
        <w:tc>
          <w:tcPr>
            <w:tcW w:type="dxa" w:w="2268"/>
          </w:tcPr>
          <w:p>
            <w:r>
              <w:rPr>
                <w:rFonts w:ascii="Times New Roman" w:hAnsi="Times New Roman"/>
                <w:sz w:val="20"/>
              </w:rPr>
              <w:t>8 Blütenblätter</w:t>
            </w:r>
          </w:p>
        </w:tc>
        <w:tc>
          <w:tcPr>
            <w:tcW w:type="dxa" w:w="2268"/>
          </w:tcPr>
          <w:p>
            <w:r>
              <w:rPr>
                <w:rFonts w:ascii="Times New Roman" w:hAnsi="Times New Roman"/>
                <w:sz w:val="20"/>
              </w:rPr>
              <w:t>Identisch</w:t>
            </w:r>
          </w:p>
        </w:tc>
      </w:tr>
      <w:tr>
        <w:tc>
          <w:tcPr>
            <w:tcW w:type="dxa" w:w="2268"/>
          </w:tcPr>
          <w:p>
            <w:r>
              <w:rPr>
                <w:rFonts w:ascii="Times New Roman" w:hAnsi="Times New Roman"/>
                <w:sz w:val="20"/>
              </w:rPr>
              <w:t>Anzahl Blütenblätter (innen)</w:t>
            </w:r>
          </w:p>
        </w:tc>
        <w:tc>
          <w:tcPr>
            <w:tcW w:type="dxa" w:w="2268"/>
          </w:tcPr>
          <w:p>
            <w:r>
              <w:rPr>
                <w:rFonts w:ascii="Times New Roman" w:hAnsi="Times New Roman"/>
                <w:sz w:val="20"/>
              </w:rPr>
              <w:t>7 Blütenblätter</w:t>
            </w:r>
          </w:p>
        </w:tc>
        <w:tc>
          <w:tcPr>
            <w:tcW w:type="dxa" w:w="2268"/>
          </w:tcPr>
          <w:p>
            <w:r>
              <w:rPr>
                <w:rFonts w:ascii="Times New Roman" w:hAnsi="Times New Roman"/>
                <w:sz w:val="20"/>
              </w:rPr>
              <w:t>7 Blütenblätter</w:t>
            </w:r>
          </w:p>
        </w:tc>
        <w:tc>
          <w:tcPr>
            <w:tcW w:type="dxa" w:w="2268"/>
          </w:tcPr>
          <w:p>
            <w:r>
              <w:rPr>
                <w:rFonts w:ascii="Times New Roman" w:hAnsi="Times New Roman"/>
                <w:sz w:val="20"/>
              </w:rPr>
              <w:t>Identisch</w:t>
            </w:r>
          </w:p>
        </w:tc>
      </w:tr>
      <w:tr>
        <w:tc>
          <w:tcPr>
            <w:tcW w:type="dxa" w:w="2268"/>
          </w:tcPr>
          <w:p>
            <w:r>
              <w:rPr>
                <w:rFonts w:ascii="Times New Roman" w:hAnsi="Times New Roman"/>
                <w:sz w:val="20"/>
              </w:rPr>
              <w:t>Stielschaftlänge</w:t>
            </w:r>
          </w:p>
        </w:tc>
        <w:tc>
          <w:tcPr>
            <w:tcW w:type="dxa" w:w="2268"/>
          </w:tcPr>
          <w:p>
            <w:r>
              <w:rPr>
                <w:rFonts w:ascii="Times New Roman" w:hAnsi="Times New Roman"/>
                <w:sz w:val="20"/>
              </w:rPr>
              <w:t>42 cm</w:t>
            </w:r>
          </w:p>
        </w:tc>
        <w:tc>
          <w:tcPr>
            <w:tcW w:type="dxa" w:w="2268"/>
          </w:tcPr>
          <w:p>
            <w:r>
              <w:rPr>
                <w:rFonts w:ascii="Times New Roman" w:hAnsi="Times New Roman"/>
                <w:sz w:val="20"/>
              </w:rPr>
              <w:t>40 cm</w:t>
            </w:r>
          </w:p>
        </w:tc>
        <w:tc>
          <w:tcPr>
            <w:tcW w:type="dxa" w:w="2268"/>
          </w:tcPr>
          <w:p>
            <w:r>
              <w:rPr>
                <w:rFonts w:ascii="Times New Roman" w:hAnsi="Times New Roman"/>
                <w:sz w:val="20"/>
              </w:rPr>
              <w:t>Nahezu identisch</w:t>
            </w:r>
          </w:p>
        </w:tc>
      </w:tr>
      <w:tr>
        <w:tc>
          <w:tcPr>
            <w:tcW w:type="dxa" w:w="2268"/>
          </w:tcPr>
          <w:p>
            <w:r>
              <w:rPr>
                <w:rFonts w:ascii="Times New Roman" w:hAnsi="Times New Roman"/>
                <w:sz w:val="20"/>
              </w:rPr>
              <w:t>Schaftform</w:t>
            </w:r>
          </w:p>
        </w:tc>
        <w:tc>
          <w:tcPr>
            <w:tcW w:type="dxa" w:w="2268"/>
          </w:tcPr>
          <w:p>
            <w:r>
              <w:rPr>
                <w:rFonts w:ascii="Times New Roman" w:hAnsi="Times New Roman"/>
                <w:sz w:val="20"/>
              </w:rPr>
              <w:t>S-Schwung</w:t>
            </w:r>
          </w:p>
        </w:tc>
        <w:tc>
          <w:tcPr>
            <w:tcW w:type="dxa" w:w="2268"/>
          </w:tcPr>
          <w:p>
            <w:r>
              <w:rPr>
                <w:rFonts w:ascii="Times New Roman" w:hAnsi="Times New Roman"/>
                <w:sz w:val="20"/>
              </w:rPr>
              <w:t>S-Schwung</w:t>
            </w:r>
          </w:p>
        </w:tc>
        <w:tc>
          <w:tcPr>
            <w:tcW w:type="dxa" w:w="2268"/>
          </w:tcPr>
          <w:p>
            <w:r>
              <w:rPr>
                <w:rFonts w:ascii="Times New Roman" w:hAnsi="Times New Roman"/>
                <w:sz w:val="20"/>
              </w:rPr>
              <w:t>Identisch</w:t>
            </w:r>
          </w:p>
        </w:tc>
      </w:tr>
      <w:tr>
        <w:tc>
          <w:tcPr>
            <w:tcW w:type="dxa" w:w="2268"/>
          </w:tcPr>
          <w:p>
            <w:r>
              <w:rPr>
                <w:rFonts w:ascii="Times New Roman" w:hAnsi="Times New Roman"/>
                <w:sz w:val="20"/>
              </w:rPr>
              <w:t>Blattattrappe</w:t>
            </w:r>
          </w:p>
        </w:tc>
        <w:tc>
          <w:tcPr>
            <w:tcW w:type="dxa" w:w="2268"/>
          </w:tcPr>
          <w:p>
            <w:r>
              <w:rPr>
                <w:rFonts w:ascii="Times New Roman" w:hAnsi="Times New Roman"/>
                <w:sz w:val="20"/>
              </w:rPr>
              <w:t>Einfach, halbe Höhe</w:t>
            </w:r>
          </w:p>
        </w:tc>
        <w:tc>
          <w:tcPr>
            <w:tcW w:type="dxa" w:w="2268"/>
          </w:tcPr>
          <w:p>
            <w:r>
              <w:rPr>
                <w:rFonts w:ascii="Times New Roman" w:hAnsi="Times New Roman"/>
                <w:sz w:val="20"/>
              </w:rPr>
              <w:t>Einfach, halbe Höhe</w:t>
            </w:r>
          </w:p>
        </w:tc>
        <w:tc>
          <w:tcPr>
            <w:tcW w:type="dxa" w:w="2268"/>
          </w:tcPr>
          <w:p>
            <w:r>
              <w:rPr>
                <w:rFonts w:ascii="Times New Roman" w:hAnsi="Times New Roman"/>
                <w:sz w:val="20"/>
              </w:rPr>
              <w:t>Identisch</w:t>
            </w:r>
          </w:p>
        </w:tc>
      </w:tr>
      <w:tr>
        <w:tc>
          <w:tcPr>
            <w:tcW w:type="dxa" w:w="2268"/>
          </w:tcPr>
          <w:p>
            <w:r>
              <w:rPr>
                <w:rFonts w:ascii="Times New Roman" w:hAnsi="Times New Roman"/>
                <w:sz w:val="20"/>
              </w:rPr>
              <w:t>Material</w:t>
            </w:r>
          </w:p>
        </w:tc>
        <w:tc>
          <w:tcPr>
            <w:tcW w:type="dxa" w:w="2268"/>
          </w:tcPr>
          <w:p>
            <w:r>
              <w:rPr>
                <w:rFonts w:ascii="Times New Roman" w:hAnsi="Times New Roman"/>
                <w:sz w:val="20"/>
              </w:rPr>
              <w:t>Gusseisen</w:t>
            </w:r>
          </w:p>
        </w:tc>
        <w:tc>
          <w:tcPr>
            <w:tcW w:type="dxa" w:w="2268"/>
          </w:tcPr>
          <w:p>
            <w:r>
              <w:rPr>
                <w:rFonts w:ascii="Times New Roman" w:hAnsi="Times New Roman"/>
                <w:sz w:val="20"/>
              </w:rPr>
              <w:t>Aluminium</w:t>
            </w:r>
          </w:p>
        </w:tc>
        <w:tc>
          <w:tcPr>
            <w:tcW w:type="dxa" w:w="2268"/>
          </w:tcPr>
          <w:p>
            <w:r>
              <w:rPr>
                <w:rFonts w:ascii="Times New Roman" w:hAnsi="Times New Roman"/>
                <w:sz w:val="20"/>
              </w:rPr>
              <w:t>Abweichend</w:t>
            </w:r>
          </w:p>
        </w:tc>
      </w:tr>
      <w:tr>
        <w:tc>
          <w:tcPr>
            <w:tcW w:type="dxa" w:w="2268"/>
          </w:tcPr>
          <w:p>
            <w:r>
              <w:rPr>
                <w:rFonts w:ascii="Times New Roman" w:hAnsi="Times New Roman"/>
                <w:sz w:val="20"/>
              </w:rPr>
              <w:t>Farbe/Oberfläche</w:t>
            </w:r>
          </w:p>
        </w:tc>
        <w:tc>
          <w:tcPr>
            <w:tcW w:type="dxa" w:w="2268"/>
          </w:tcPr>
          <w:p>
            <w:r>
              <w:rPr>
                <w:rFonts w:ascii="Times New Roman" w:hAnsi="Times New Roman"/>
                <w:sz w:val="20"/>
              </w:rPr>
              <w:t>Schwarz-Anthrazit (Patina)</w:t>
            </w:r>
          </w:p>
        </w:tc>
        <w:tc>
          <w:tcPr>
            <w:tcW w:type="dxa" w:w="2268"/>
          </w:tcPr>
          <w:p>
            <w:r>
              <w:rPr>
                <w:rFonts w:ascii="Times New Roman" w:hAnsi="Times New Roman"/>
                <w:sz w:val="20"/>
              </w:rPr>
              <w:t>Weiß (Lackierung)</w:t>
            </w:r>
          </w:p>
        </w:tc>
        <w:tc>
          <w:tcPr>
            <w:tcW w:type="dxa" w:w="2268"/>
          </w:tcPr>
          <w:p>
            <w:r>
              <w:rPr>
                <w:rFonts w:ascii="Times New Roman" w:hAnsi="Times New Roman"/>
                <w:sz w:val="20"/>
              </w:rPr>
              <w:t>Abweichend</w:t>
            </w:r>
          </w:p>
        </w:tc>
      </w:tr>
      <w:tr>
        <w:tc>
          <w:tcPr>
            <w:tcW w:type="dxa" w:w="2268"/>
          </w:tcPr>
          <w:p>
            <w:r>
              <w:rPr>
                <w:rFonts w:ascii="Times New Roman" w:hAnsi="Times New Roman"/>
                <w:sz w:val="20"/>
              </w:rPr>
              <w:t>Preis</w:t>
            </w:r>
          </w:p>
        </w:tc>
        <w:tc>
          <w:tcPr>
            <w:tcW w:type="dxa" w:w="2268"/>
          </w:tcPr>
          <w:p>
            <w:r>
              <w:rPr>
                <w:rFonts w:ascii="Times New Roman" w:hAnsi="Times New Roman"/>
                <w:sz w:val="20"/>
              </w:rPr>
              <w:t>189–420 EUR</w:t>
            </w:r>
          </w:p>
        </w:tc>
        <w:tc>
          <w:tcPr>
            <w:tcW w:type="dxa" w:w="2268"/>
          </w:tcPr>
          <w:p>
            <w:r>
              <w:rPr>
                <w:rFonts w:ascii="Times New Roman" w:hAnsi="Times New Roman"/>
                <w:sz w:val="20"/>
              </w:rPr>
              <w:t>24,99 EUR</w:t>
            </w:r>
          </w:p>
        </w:tc>
        <w:tc>
          <w:tcPr>
            <w:tcW w:type="dxa" w:w="2268"/>
          </w:tcPr>
          <w:p>
            <w:r>
              <w:rPr>
                <w:rFonts w:ascii="Times New Roman" w:hAnsi="Times New Roman"/>
                <w:sz w:val="20"/>
              </w:rPr>
              <w:t>Deutlich abweichend</w:t>
            </w:r>
          </w:p>
        </w:tc>
      </w:tr>
    </w:tbl>
    <w:p>
      <w:pPr>
        <w:jc w:val="left"/>
      </w:pPr>
      <w:r>
        <w:rPr>
          <w:b/>
        </w:rPr>
        <w:t>Bewertung der Zeichenähnlichkeit:</w:t>
      </w:r>
      <w:r>
        <w:t xml:space="preserve"> Die Übereinstimmungen sind nahezu vollständig in den maßgeblichen Formmerkmalen. Abweichungen bestehen nur in Material, Farbe und Preis. Nach der BGH-Rechtsprechung (BGH GRUR 2016, 484 — Verlängerter Anteil) ist bei Formmarken die Gesamtwahrnehmung des durchschnittlichen Verbrauchers entscheidend. Ein Verbraucher, der die Marke kennt, aber das FlowerWorld-Produkt im Gartencenter sieht, wird angesichts der identischen Proportionen und Formmerkmale annehmen, es handele sich um eine günstigere Version oder Variante des Leichtenstein-Produkts.</w:t>
      </w:r>
    </w:p>
    <w:p>
      <w:pPr>
        <w:pStyle w:val="Heading3"/>
      </w:pPr>
      <w:r>
        <w:rPr>
          <w:rFonts w:ascii="Times New Roman" w:hAnsi="Times New Roman"/>
        </w:rPr>
        <w:t>2.5 Gesamtabwägung Verwechslungsgefahr</w:t>
      </w:r>
    </w:p>
    <w:p>
      <w:pPr>
        <w:jc w:val="left"/>
      </w:pPr>
      <w:r>
        <w:t>Die Verwechslungsgefahr ist nach der Wechselwirkungslehre zu beurteilen (EuGH, C-251/95 — Sabel/Puma): Ein geringerer Grad an Ähnlichkeit bei den Zeichen kann durch einen höheren Grad an Ähnlichkeit bei den Waren ausgeglichen werden.</w:t>
      </w:r>
    </w:p>
    <w:p>
      <w:pPr>
        <w:jc w:val="left"/>
      </w:pPr>
      <w:r>
        <w:t>Hier:</w:t>
      </w:r>
    </w:p>
    <w:p>
      <w:pPr>
        <w:pStyle w:val="ListBullet"/>
      </w:pPr>
      <w:r>
        <w:rPr>
          <w:b/>
        </w:rPr>
        <w:t>Warenähnlichkeit:</w:t>
      </w:r>
      <w:r>
        <w:t xml:space="preserve"> Sehr hoch (Identität im Wesentlichen)</w:t>
      </w:r>
    </w:p>
    <w:p>
      <w:pPr>
        <w:pStyle w:val="ListBullet"/>
      </w:pPr>
      <w:r>
        <w:rPr>
          <w:b/>
        </w:rPr>
        <w:t>Zeichenähnlichkeit:</w:t>
      </w:r>
      <w:r>
        <w:t xml:space="preserve"> Sehr hoch (identische Formmerkmale, nur Material und Farbe abweichend)</w:t>
      </w:r>
    </w:p>
    <w:p>
      <w:pPr>
        <w:pStyle w:val="ListBullet"/>
      </w:pPr>
      <w:r>
        <w:rPr>
          <w:b/>
        </w:rPr>
        <w:t>Kennzeichnungskraft der Marke:</w:t>
      </w:r>
      <w:r>
        <w:t xml:space="preserve"> Mittel bis hoch (originäre Kennzeichnungskraft, ergänzt durch Verkehrsbekanntheit)</w:t>
      </w:r>
    </w:p>
    <w:p>
      <w:pPr>
        <w:jc w:val="left"/>
      </w:pPr>
      <w:r>
        <w:rPr>
          <w:b/>
        </w:rPr>
        <w:t>Ergebnis:</w:t>
      </w:r>
      <w:r>
        <w:t xml:space="preserve"> Verwechslungsgefahr liegt vor. Der relevante Verkehr — Käufer von Gartendekorationen im gehobenen bis mittleren Segment — wird die beiden Produkte gedanklich in Verbindung bringen, insbesondere da FlowerWorld-Produkte oft als günstigere Alternativen zu Premium-Produkten wahrgenommen werden.</w:t>
      </w:r>
    </w:p>
    <w:p>
      <w:pPr>
        <w:pStyle w:val="Heading3"/>
      </w:pPr>
      <w:r>
        <w:rPr>
          <w:rFonts w:ascii="Times New Roman" w:hAnsi="Times New Roman"/>
        </w:rPr>
        <w:t>2.6 Benutzungshandlungen</w:t>
      </w:r>
    </w:p>
    <w:p>
      <w:pPr>
        <w:jc w:val="left"/>
      </w:pPr>
      <w:r>
        <w:t>FlowerWorld setzt die eingetragene Marke ohne Zustimmung im geschäftlichen Verkehr ein:</w:t>
      </w:r>
    </w:p>
    <w:p>
      <w:pPr>
        <w:pStyle w:val="ListBullet"/>
      </w:pPr>
      <w:r>
        <w:t>Angebot im Handel (§ 14 Abs. 3 Nr. 2 MarkenG)</w:t>
      </w:r>
    </w:p>
    <w:p>
      <w:pPr>
        <w:pStyle w:val="ListBullet"/>
      </w:pPr>
      <w:r>
        <w:t>Inverkehrbringen (§ 14 Abs. 3 Nr. 2 MarkenG)</w:t>
      </w:r>
    </w:p>
    <w:p>
      <w:pPr>
        <w:pStyle w:val="ListBullet"/>
      </w:pPr>
      <w:r>
        <w:t>Werbung im Online-Shop und in Werbeprospekten (§ 14 Abs. 3 Nr. 3 MarkenG)</w:t>
      </w:r>
    </w:p>
    <w:p>
      <w:pPr>
        <w:pStyle w:val="ListBullet"/>
      </w:pPr>
      <w:r>
        <w:t>Einfuhr (das Produkt wird nach vorliegenden Informationen in China hergestellt und importiert; § 14 Abs. 3 Nr. 4 MarkenG)</w:t>
      </w:r>
    </w:p>
    <w:p>
      <w:pPr>
        <w:jc w:val="left"/>
      </w:pPr>
      <w:r>
        <w:t>Alle vier Benutzungsformen liegen vor.</w:t>
      </w:r>
    </w:p>
    <w:p>
      <w:pPr>
        <w:pStyle w:val="Heading2"/>
      </w:pPr>
      <w:r>
        <w:rPr>
          <w:rFonts w:ascii="Times New Roman" w:hAnsi="Times New Roman"/>
        </w:rPr>
        <w:t>3. Anspruchsgrundlagen</w:t>
      </w:r>
    </w:p>
    <w:p>
      <w:pPr>
        <w:jc w:val="left"/>
      </w:pPr>
      <w:r>
        <w:t>Aufgrund der festgestellten Markenverletzung stehen der Mandantin folgende Ansprüche zu:</w:t>
      </w:r>
    </w:p>
    <w:p>
      <w:pPr>
        <w:pStyle w:val="Heading3"/>
      </w:pPr>
      <w:r>
        <w:rPr>
          <w:rFonts w:ascii="Times New Roman" w:hAnsi="Times New Roman"/>
        </w:rPr>
        <w:t>3.1 Unterlassung (§ 14 Abs. 5 MarkenG)</w:t>
      </w:r>
    </w:p>
    <w:p>
      <w:pPr>
        <w:jc w:val="left"/>
      </w:pPr>
      <w:r>
        <w:t>Anspruch auf Unterlassung des Angebietens, Inverkehrbringens, Bewerbens und Einführens des Verletzungsgegenstands, gerichtlich gesichert durch einstweilige Verfügung (vgl. Aktenstück 05) und Hauptsacheklage.</w:t>
      </w:r>
    </w:p>
    <w:p>
      <w:pPr>
        <w:pStyle w:val="Heading3"/>
      </w:pPr>
      <w:r>
        <w:rPr>
          <w:rFonts w:ascii="Times New Roman" w:hAnsi="Times New Roman"/>
        </w:rPr>
        <w:t>3.2 Auskunft und Rechnungslegung (§ 19 MarkenG)</w:t>
      </w:r>
    </w:p>
    <w:p>
      <w:pPr>
        <w:jc w:val="left"/>
      </w:pPr>
      <w:r>
        <w:t>Auskunft über Herkunft und Vertriebswege, insbesondere: Hersteller/Lieferant, Einkaufsmengen, Verkaufsmengen, Einkaufspreise, Verkaufspreise, Gewinne, Kundenliste soweit zumutbar.</w:t>
      </w:r>
    </w:p>
    <w:p>
      <w:pPr>
        <w:pStyle w:val="Heading3"/>
      </w:pPr>
      <w:r>
        <w:rPr>
          <w:rFonts w:ascii="Times New Roman" w:hAnsi="Times New Roman"/>
        </w:rPr>
        <w:t>3.3 Schadensersatz (§ 14 Abs. 6 MarkenG)</w:t>
      </w:r>
    </w:p>
    <w:p>
      <w:pPr>
        <w:jc w:val="left"/>
      </w:pPr>
      <w:r>
        <w:t>Die Mandantin kann nach ihrer Wahl aus drei Berechnungsmethoden wählen:</w:t>
      </w:r>
    </w:p>
    <w:p>
      <w:pPr>
        <w:pStyle w:val="ListBullet"/>
      </w:pPr>
      <w:r>
        <w:rPr>
          <w:b/>
        </w:rPr>
        <w:t>Entgangener Gewinn:</w:t>
      </w:r>
      <w:r>
        <w:t xml:space="preserve"> Konkreter Schaden durch entgangene eigene Umsätze</w:t>
      </w:r>
    </w:p>
    <w:p>
      <w:pPr>
        <w:pStyle w:val="ListBullet"/>
      </w:pPr>
      <w:r>
        <w:rPr>
          <w:b/>
        </w:rPr>
        <w:t>Herausgabe des Verletzergewinns:</w:t>
      </w:r>
      <w:r>
        <w:t xml:space="preserve"> Gewinn, den FlowerWorld durch das Inverkehrbringen des Verletzungsgegenstands erzielt hat</w:t>
      </w:r>
    </w:p>
    <w:p>
      <w:pPr>
        <w:pStyle w:val="ListBullet"/>
      </w:pPr>
      <w:r>
        <w:rPr>
          <w:b/>
        </w:rPr>
        <w:t>Lizenzanalogie:</w:t>
      </w:r>
      <w:r>
        <w:t xml:space="preserve"> Angemessene Lizenzgebühr, die bei Abschluss eines Lizenzvertrags zu zahlen gewesen wäre</w:t>
      </w:r>
    </w:p>
    <w:p>
      <w:pPr>
        <w:jc w:val="left"/>
      </w:pPr>
      <w:r>
        <w:t>Vorzugsmethode hier: Lizenzanalogie (sicherer Mindestschaden, keine Beweisschwierigkeit beim entgangenen Gewinn). Berechnung vgl. Aktenstück 07 und xlsx-Tabelle.</w:t>
      </w:r>
    </w:p>
    <w:p>
      <w:pPr>
        <w:pStyle w:val="Heading3"/>
      </w:pPr>
      <w:r>
        <w:rPr>
          <w:rFonts w:ascii="Times New Roman" w:hAnsi="Times New Roman"/>
        </w:rPr>
        <w:t>3.4 Vernichtung und Rückruf (§ 18 MarkenG)</w:t>
      </w:r>
    </w:p>
    <w:p>
      <w:pPr>
        <w:jc w:val="left"/>
      </w:pPr>
      <w:r>
        <w:t>Anspruch auf Vernichtung der im Besitz oder Eigentum der Beklagten befindlichen Verletzungsgegenstände sowie Rückruf aus dem Handel.</w:t>
      </w:r>
    </w:p>
    <w:p>
      <w:pPr>
        <w:pStyle w:val="Heading3"/>
      </w:pPr>
      <w:r>
        <w:rPr>
          <w:rFonts w:ascii="Times New Roman" w:hAnsi="Times New Roman"/>
        </w:rPr>
        <w:t>3.5 Kostenerstattung (§ 14 Abs. 6 MarkenG i.V.m. § 12 Abs. 1 UWG analog)</w:t>
      </w:r>
    </w:p>
    <w:p>
      <w:pPr>
        <w:jc w:val="left"/>
      </w:pPr>
      <w:r>
        <w:t>Erstattung der Abmahnkosten und der Verfahrenskosten.</w:t>
      </w:r>
    </w:p>
    <w:p>
      <w:pPr>
        <w:pStyle w:val="Heading2"/>
      </w:pPr>
      <w:r>
        <w:rPr>
          <w:rFonts w:ascii="Times New Roman" w:hAnsi="Times New Roman"/>
        </w:rPr>
        <w:t>4. Beweiswürdigung und Risikoabwägung</w:t>
      </w:r>
    </w:p>
    <w:p>
      <w:pPr>
        <w:jc w:val="left"/>
      </w:pPr>
      <w:r>
        <w:rPr>
          <w:b/>
        </w:rPr>
        <w:t>Stärken der Klage:</w:t>
      </w:r>
    </w:p>
    <w:p>
      <w:pPr>
        <w:pStyle w:val="ListBullet"/>
      </w:pPr>
      <w:r>
        <w:t>Formal starke Markenposition (EUIPO-Eintragung, gültig)</w:t>
      </w:r>
    </w:p>
    <w:p>
      <w:pPr>
        <w:pStyle w:val="ListBullet"/>
      </w:pPr>
      <w:r>
        <w:t>Hochgradige Verwechslungsgefahr objektiv belegbar</w:t>
      </w:r>
    </w:p>
    <w:p>
      <w:pPr>
        <w:pStyle w:val="ListBullet"/>
      </w:pPr>
      <w:r>
        <w:t>Verletzungshandlungen durch Testkauf beweissicher dokumentiert</w:t>
      </w:r>
    </w:p>
    <w:p>
      <w:pPr>
        <w:pStyle w:val="ListBullet"/>
      </w:pPr>
      <w:r>
        <w:t>Keine Vorbenutzungseinrede möglich</w:t>
      </w:r>
    </w:p>
    <w:p>
      <w:pPr>
        <w:jc w:val="left"/>
      </w:pPr>
      <w:r>
        <w:rPr>
          <w:b/>
        </w:rPr>
        <w:t>Risiken:</w:t>
      </w:r>
    </w:p>
    <w:p>
      <w:pPr>
        <w:pStyle w:val="ListBullet"/>
      </w:pPr>
      <w:r>
        <w:t>Nichtigkeitsantrag Bouqart könnte theoretisch auf die Frage der Durchsetzbarkeit der Marke einwirken (allerdings keine aufschiebende Wirkung per se)</w:t>
      </w:r>
    </w:p>
    <w:p>
      <w:pPr>
        <w:pStyle w:val="ListBullet"/>
      </w:pPr>
      <w:r>
        <w:t>FlowerWorld könnte behaupten, die Formmerkmale seien technisch oder ästhetisch zwingend — das ist jedoch angesichts der Vielzahl an Alternativen im Segment widerlegbar</w:t>
      </w:r>
    </w:p>
    <w:p>
      <w:pPr>
        <w:pStyle w:val="ListBullet"/>
      </w:pPr>
      <w:r>
        <w:t>Widerklage auf Feststellung der Nichtigkeit (§ 55 MarkenG) möglich</w:t>
      </w:r>
    </w:p>
    <w:p>
      <w:pPr>
        <w:jc w:val="left"/>
      </w:pPr>
      <w:r>
        <w:rPr>
          <w:b/>
        </w:rPr>
        <w:t>Gesamteinschätzung:</w:t>
      </w:r>
      <w:r>
        <w:t xml:space="preserve"> Klage ist mit hoher Wahrscheinlichkeit erfolgreich. Das stärkste Risiko liegt in der ausstehenden Entscheidung zum Nichtigkeitsantrag; hier ist aber die erstinstanzliche EUIPO-Entscheidung zu unseren Gunsten ein wichtiges Argument.</w:t>
      </w:r>
    </w:p>
    <w:p/>
    <w:p>
      <w:pPr>
        <w:jc w:val="left"/>
      </w:pPr>
      <w:r>
        <w:rPr>
          <w:b/>
        </w:rPr>
        <w:t>Erstellt von:</w:t>
      </w:r>
      <w:r>
        <w:t xml:space="preserve"> RA Philipp Mertens-Waldhausen</w:t>
      </w:r>
    </w:p>
    <w:p>
      <w:pPr>
        <w:jc w:val="left"/>
      </w:pPr>
      <w:r>
        <w:rPr>
          <w:b/>
        </w:rPr>
        <w:t>Datum:</w:t>
      </w:r>
      <w:r>
        <w:t xml:space="preserve"> 19. April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FlowerWorld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FlowerWorld AG</w:t>
    </w:r>
  </w:p>
  <w:p>
    <w:pPr>
      <w:jc w:val="left"/>
      <w:pBdr>
        <w:bottom w:val="single" w:sz="6" w:space="2" w:color="8A6A1F"/>
      </w:pBdr>
    </w:pPr>
    <w:r>
      <w:rPr>
        <w:rFonts w:ascii="Times New Roman" w:hAnsi="Times New Roman"/>
        <w:color w:val="6B6B66"/>
        <w:sz w:val="16"/>
      </w:rPr>
      <w:t>Unternehmen · 7 O 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