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Sachverständigengutachten: Vintage-Katalog Lefèvre 1962</w:t>
      </w:r>
    </w:p>
    <w:p>
      <w:pPr>
        <w:jc w:val="left"/>
      </w:pPr>
      <w:r>
        <w:rPr>
          <w:b/>
        </w:rPr>
        <w:t>Sachverständige:</w:t>
      </w:r>
      <w:r>
        <w:t xml:space="preserve"> Prof. Dr. Karola Stein-Weitmann, Universität Stuttgart, Institut für Kunstgeschichte und Angewandte Kunst</w:t>
      </w:r>
    </w:p>
    <w:p>
      <w:pPr>
        <w:jc w:val="left"/>
      </w:pPr>
      <w:r>
        <w:rPr>
          <w:b/>
        </w:rPr>
        <w:t>Auftraggeber:</w:t>
      </w:r>
      <w:r>
        <w:t xml:space="preserve"> Kanzlei Dr. Volkmar Trautmann &amp; Coll., Mannheim (im Auftrag Leichtenstein Gartenkultur Manufaktur GmbH)</w:t>
      </w:r>
    </w:p>
    <w:p>
      <w:pPr>
        <w:jc w:val="left"/>
      </w:pPr>
      <w:r>
        <w:rPr>
          <w:b/>
        </w:rPr>
        <w:t>Gutachtenerstattung:</w:t>
      </w:r>
      <w:r>
        <w:t xml:space="preserve"> 18. Juli 2026</w:t>
      </w:r>
    </w:p>
    <w:p>
      <w:pPr>
        <w:jc w:val="left"/>
      </w:pPr>
      <w:r>
        <w:rPr>
          <w:b/>
        </w:rPr>
        <w:t>Verfahren:</w:t>
      </w:r>
      <w:r>
        <w:t xml:space="preserve"> EUIPO Nichtigkeitsverfahren Geschmacksmuster CD 008 412 661-0001</w:t>
      </w:r>
    </w:p>
    <w:p/>
    <w:p>
      <w:pPr>
        <w:pStyle w:val="Heading2"/>
      </w:pPr>
      <w:r>
        <w:rPr>
          <w:rFonts w:ascii="Times New Roman" w:hAnsi="Times New Roman"/>
        </w:rPr>
        <w:t>1. Auftrag und Fragestellungen</w:t>
      </w:r>
    </w:p>
    <w:p>
      <w:pPr>
        <w:jc w:val="left"/>
      </w:pPr>
      <w:r>
        <w:t>Die Unterzeichnerin wurde beauftragt, auf Basis des ihr vorliegenden Fotokopien-Exemplars des Lefèvre &amp; Cie.-Katalogs 1962 (fünf Seiten, davon relevant: Seite 34 mit Modell 47-B „Fleur de Fer") sowie weiterer zugänglicher historischer Quellen folgende Fragen zu beantworten:</w:t>
      </w:r>
    </w:p>
    <w:p>
      <w:pPr>
        <w:pStyle w:val="ListNumber"/>
      </w:pPr>
      <w:r>
        <w:t>In welchem kunsthandwerklichen und industriellen Kontext steht das Lefèvre-Modell 47-B?</w:t>
      </w:r>
    </w:p>
    <w:p>
      <w:pPr>
        <w:pStyle w:val="ListNumber"/>
      </w:pPr>
      <w:r>
        <w:t>Wie breit war die Verbreitung des Katalogs im europäischen Gartendeko-Handel der 1960er Jahre?</w:t>
      </w:r>
    </w:p>
    <w:p>
      <w:pPr>
        <w:pStyle w:val="ListNumber"/>
      </w:pPr>
      <w:r>
        <w:t>Unterscheidet sich das EU-Geschmacksmuster CD 008 412 661-0001 der Leichtenstein Gartenkultur Manufaktur GmbH in seiner Eigenart von dem Lefèvre-Modell 47-B?</w:t>
      </w:r>
    </w:p>
    <w:p>
      <w:pPr>
        <w:pStyle w:val="Heading2"/>
      </w:pPr>
      <w:r>
        <w:rPr>
          <w:rFonts w:ascii="Times New Roman" w:hAnsi="Times New Roman"/>
        </w:rPr>
        <w:t>2. Zur Person der Sachverständigen</w:t>
      </w:r>
    </w:p>
    <w:p>
      <w:pPr>
        <w:jc w:val="left"/>
      </w:pPr>
      <w:r>
        <w:t>Prof. Dr. Karola Stein-Weitmann ist seit 2009 Inhaberin des Lehrstuhls für Designgeschichte und Angewandte Kunst an der Universität Stuttgart. Sie ist Verfasserin des Standardwerks „Eisenkunst in Garten und Park — Geschichte der dekorativen Eisengießerei in Europa 1800 bis 2000" (Hatje Cantz Verlag, Stuttgart 2014) und hat als Sachverständige in mehreren Designrechtsstreitigkeiten vor deutschen und europäischen Gerichten ausgesagt.</w:t>
      </w:r>
    </w:p>
    <w:p>
      <w:pPr>
        <w:pStyle w:val="Heading2"/>
      </w:pPr>
      <w:r>
        <w:rPr>
          <w:rFonts w:ascii="Times New Roman" w:hAnsi="Times New Roman"/>
        </w:rPr>
        <w:t>3. Historischer Kontext: Eisenblumen in der Gartendekoration</w:t>
      </w:r>
    </w:p>
    <w:p>
      <w:pPr>
        <w:pStyle w:val="Heading3"/>
      </w:pPr>
      <w:r>
        <w:rPr>
          <w:rFonts w:ascii="Times New Roman" w:hAnsi="Times New Roman"/>
        </w:rPr>
        <w:t>3.1 Tradition der Eisenblume in Frankreich und Europa</w:t>
      </w:r>
    </w:p>
    <w:p>
      <w:pPr>
        <w:jc w:val="left"/>
      </w:pPr>
      <w:r>
        <w:t>Dekorative Eisenblumen — „fleurs de fer" — haben in der europäischen Kunstgießerei eine lange Tradition. Die Blütezeit der Eisenblumenproduktion für Gärten und Parks lag im 19. Jahrhundert, insbesondere während der Gründerzeit (1870–1900). Bekannte Eisengießereien, die Blumendekorationen fertigten, waren unter anderem Val d'Osne (Haute-Marne, Frankreich), Barbézat &amp; Cie. und — in geringerem Umfang — regionale Hütten wie Lefèvre &amp; Cie. im Elsass.</w:t>
      </w:r>
    </w:p>
    <w:p>
      <w:pPr>
        <w:jc w:val="left"/>
      </w:pPr>
      <w:r>
        <w:t>Der Stil dieser historischen Eisenblumen ist charakteristisch: stark stilisiert, oft symmetrisch, technisch-schematisch in der Formensprache, weit entfernt von naturalistischer Darstellung. Die Verwendung war vorwiegend in repräsentativen Parkanlagen und auf Friedhöfen; weniger im privaten Gartenbereich.</w:t>
      </w:r>
    </w:p>
    <w:p>
      <w:pPr>
        <w:pStyle w:val="Heading3"/>
      </w:pPr>
      <w:r>
        <w:rPr>
          <w:rFonts w:ascii="Times New Roman" w:hAnsi="Times New Roman"/>
        </w:rPr>
        <w:t>3.2 Das Lefèvre-Modell 47-B im historischen Kontext</w:t>
      </w:r>
    </w:p>
    <w:p>
      <w:pPr>
        <w:jc w:val="left"/>
      </w:pPr>
      <w:r>
        <w:t>Die Unterzeichnerin identifiziert das Lefèvre-Modell 47-B „Fleur de Fer" als typisches Erzeugnis der Nachkriegs-Kleingießerei der 1960er Jahre. Charakteristisch für diese Epoche sind:</w:t>
      </w:r>
    </w:p>
    <w:p>
      <w:pPr>
        <w:pStyle w:val="ListBullet"/>
      </w:pPr>
      <w:r>
        <w:t>Vereinfachte, stilisierte Blütenformen (Reduktion der Komplexität gegenüber gründerzeitlichen Modellen)</w:t>
      </w:r>
    </w:p>
    <w:p>
      <w:pPr>
        <w:pStyle w:val="ListBullet"/>
      </w:pPr>
      <w:r>
        <w:t>Symmetrische Anordnung weniger Blütenblätter (5 bis 8)</w:t>
      </w:r>
    </w:p>
    <w:p>
      <w:pPr>
        <w:pStyle w:val="ListBullet"/>
      </w:pPr>
      <w:r>
        <w:t>Gerade oder leicht gebogene Stiele ohne geschwungene Dynamik</w:t>
      </w:r>
    </w:p>
    <w:p>
      <w:pPr>
        <w:pStyle w:val="ListBullet"/>
      </w:pPr>
      <w:r>
        <w:t>Fehlen von Blattattrappen oder Nebendetails</w:t>
      </w:r>
    </w:p>
    <w:p>
      <w:pPr>
        <w:jc w:val="left"/>
      </w:pPr>
      <w:r>
        <w:t>Das Modell 47-B entspricht exakt diesem Typus: Es zeigt eine stark vereinfachte, schematische Blüte mit sechs symmetrisch angeordneten, flachen Blütenblättern auf einem geraden, schlichten Schaft ohne Blattattrappe.</w:t>
      </w:r>
    </w:p>
    <w:p>
      <w:pPr>
        <w:pStyle w:val="Heading2"/>
      </w:pPr>
      <w:r>
        <w:rPr>
          <w:rFonts w:ascii="Times New Roman" w:hAnsi="Times New Roman"/>
        </w:rPr>
        <w:t>4. Verbreitung des Lefèvre-Katalogs</w:t>
      </w:r>
    </w:p>
    <w:p>
      <w:pPr>
        <w:pStyle w:val="Heading3"/>
      </w:pPr>
      <w:r>
        <w:rPr>
          <w:rFonts w:ascii="Times New Roman" w:hAnsi="Times New Roman"/>
        </w:rPr>
        <w:t>4.1 Rechercheergebnisse</w:t>
      </w:r>
    </w:p>
    <w:p>
      <w:pPr>
        <w:jc w:val="left"/>
      </w:pPr>
      <w:r>
        <w:t>Die Unterzeichnerin hat folgende Recherchen durchgeführt:</w:t>
      </w:r>
    </w:p>
    <w:p>
      <w:pPr>
        <w:jc w:val="left"/>
      </w:pPr>
      <w:r>
        <w:rPr>
          <w:b/>
        </w:rPr>
        <w:t>Archivrecherche:</w:t>
      </w:r>
    </w:p>
    <w:p>
      <w:pPr>
        <w:jc w:val="left"/>
      </w:pPr>
      <w:r>
        <w:t>Das Archiv der Chambre de Commerce et d'Industrie du Bas-Rhin (Straßburg), in dessen Bezirk die Lefèvre &amp; Cie. ansässig war, bestätigt, dass Lefèvre &amp; Cie. ein kleiner Betrieb mit maximal 18 Beschäftigten in den 1960er Jahren war. Das Unternehmen belieferte überwiegend regionale Baumärkte und einzelne Gartencenterbetriebe in der Elsass-Lothringen-Region. Ein Export nach Deutschland, Österreich oder in andere EU-Länder ist archivmäßig nicht belegt.</w:t>
      </w:r>
    </w:p>
    <w:p>
      <w:pPr>
        <w:jc w:val="left"/>
      </w:pPr>
      <w:r>
        <w:rPr>
          <w:b/>
        </w:rPr>
        <w:t>Katalogauflage:</w:t>
      </w:r>
    </w:p>
    <w:p>
      <w:pPr>
        <w:jc w:val="left"/>
      </w:pPr>
      <w:r>
        <w:t>Es liegen keine Druckauflagendaten für den Lefèvre-Katalog 1962 vor. Nach Auskunft des Stadtarchivs Colmar, wo ein weiteres Exemplar des Katalogs aufbewahrt wird, ist der Katalog eine interne Verkaufsliste gewesen (kein kommerziell vervielfältigtes Werbedruckerzeugnis), die an Direktkunden ausgehändigt wurde. Die Auflage dürfte im unteren dreistelligen Bereich gelegen haben.</w:t>
      </w:r>
    </w:p>
    <w:p>
      <w:pPr>
        <w:jc w:val="left"/>
      </w:pPr>
      <w:r>
        <w:rPr>
          <w:b/>
        </w:rPr>
        <w:t>Bekanntheit im deutschen Markt:</w:t>
      </w:r>
    </w:p>
    <w:p>
      <w:pPr>
        <w:jc w:val="left"/>
      </w:pPr>
      <w:r>
        <w:t>Die Unterzeichnerin konnte keinen Beleg dafür finden, dass das Lefèvre-Modell 47-B oder der Katalog 1962 im deutschen Gartendeko-Handel bekannt war. Weder Einkäufer-Verzeichnisse der deutschen Gartenhandels-Ketten der 1960er Jahre noch Messeunterlagen der damaligen Gartenbaumessen (Grüne Woche Berlin, IPM Essen) belegen eine Präsenz von Lefèvre &amp; Cie.</w:t>
      </w:r>
    </w:p>
    <w:p>
      <w:pPr>
        <w:pStyle w:val="Heading3"/>
      </w:pPr>
      <w:r>
        <w:rPr>
          <w:rFonts w:ascii="Times New Roman" w:hAnsi="Times New Roman"/>
        </w:rPr>
        <w:t>4.2 Schlussfolgerung zur öffentlichen Zugänglichkeit</w:t>
      </w:r>
    </w:p>
    <w:p>
      <w:pPr>
        <w:jc w:val="left"/>
      </w:pPr>
      <w:r>
        <w:t>Es kann nicht als erwiesen gelten, dass der Lefèvre-Katalog 1962 dem einschlägigen Fachkreis im Sinne von Art. 7 GGV zugänglich gemacht worden war. Der Katalog war ein regional begrenztes Verkaufsinstrument eines kleinen elsässischen Gießereibetriebs ohne nachgewiesene überregionale Verbreitung.</w:t>
      </w:r>
    </w:p>
    <w:p>
      <w:pPr>
        <w:pStyle w:val="Heading2"/>
      </w:pPr>
      <w:r>
        <w:rPr>
          <w:rFonts w:ascii="Times New Roman" w:hAnsi="Times New Roman"/>
        </w:rPr>
        <w:t>5. Formvergleich und Eigenartsanalyse</w:t>
      </w:r>
    </w:p>
    <w:p>
      <w:pPr>
        <w:pStyle w:val="Heading3"/>
      </w:pPr>
      <w:r>
        <w:rPr>
          <w:rFonts w:ascii="Times New Roman" w:hAnsi="Times New Roman"/>
        </w:rPr>
        <w:t>5.1 Gesamteindruck beim informierten Benutzer</w:t>
      </w:r>
    </w:p>
    <w:p>
      <w:pPr>
        <w:jc w:val="left"/>
      </w:pPr>
      <w:r>
        <w:t>Der in Art. 6 GGV angesprochene „informierte Benutzer" ist nach der Rechtsprechung des EuGH (EuGH C-281/10 P — PepsiCo) besonders aufmerksam und gut informiert, ohne dass er jedoch ein Fachexperte wäre. Im vorliegenden Fall ist der informierte Benutzer ein Gartendekorations-Enthusiast, der Stilunterschiede zwischen historischen und modernen Gestaltungen kennt.</w:t>
      </w:r>
    </w:p>
    <w:p>
      <w:pPr>
        <w:pStyle w:val="Heading3"/>
      </w:pPr>
      <w:r>
        <w:rPr>
          <w:rFonts w:ascii="Times New Roman" w:hAnsi="Times New Roman"/>
        </w:rPr>
        <w:t>5.2 Vergleich der Gesamteindrücke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Aspekt</w:t>
            </w:r>
          </w:p>
        </w:tc>
        <w:tc>
          <w:tcPr>
            <w:tcW w:type="dxa" w:w="3024"/>
          </w:tcPr>
          <w:p>
            <w:r>
              <w:rPr>
                <w:rFonts w:ascii="Times New Roman" w:hAnsi="Times New Roman"/>
                <w:b/>
                <w:sz w:val="20"/>
              </w:rPr>
              <w:t>Lefèvre Modell 47-B (1962)</w:t>
            </w:r>
          </w:p>
        </w:tc>
        <w:tc>
          <w:tcPr>
            <w:tcW w:type="dxa" w:w="3024"/>
          </w:tcPr>
          <w:p>
            <w:r>
              <w:rPr>
                <w:rFonts w:ascii="Times New Roman" w:hAnsi="Times New Roman"/>
                <w:b/>
                <w:sz w:val="20"/>
              </w:rPr>
              <w:t>Leichtenstein-Muster (2018)</w:t>
            </w:r>
          </w:p>
        </w:tc>
      </w:tr>
      <w:tr>
        <w:tc>
          <w:tcPr>
            <w:tcW w:type="dxa" w:w="3024"/>
          </w:tcPr>
          <w:p>
            <w:r>
              <w:rPr>
                <w:rFonts w:ascii="Times New Roman" w:hAnsi="Times New Roman"/>
                <w:sz w:val="20"/>
              </w:rPr>
              <w:t>Stilistischer Ausdruck</w:t>
            </w:r>
          </w:p>
        </w:tc>
        <w:tc>
          <w:tcPr>
            <w:tcW w:type="dxa" w:w="3024"/>
          </w:tcPr>
          <w:p>
            <w:r>
              <w:rPr>
                <w:rFonts w:ascii="Times New Roman" w:hAnsi="Times New Roman"/>
                <w:sz w:val="20"/>
              </w:rPr>
              <w:t>Technisch-abstrakt, flächig</w:t>
            </w:r>
          </w:p>
        </w:tc>
        <w:tc>
          <w:tcPr>
            <w:tcW w:type="dxa" w:w="3024"/>
          </w:tcPr>
          <w:p>
            <w:r>
              <w:rPr>
                <w:rFonts w:ascii="Times New Roman" w:hAnsi="Times New Roman"/>
                <w:sz w:val="20"/>
              </w:rPr>
              <w:t>Naturalistisch, dreidimensional-skulptural</w:t>
            </w:r>
          </w:p>
        </w:tc>
      </w:tr>
      <w:tr>
        <w:tc>
          <w:tcPr>
            <w:tcW w:type="dxa" w:w="3024"/>
          </w:tcPr>
          <w:p>
            <w:r>
              <w:rPr>
                <w:rFonts w:ascii="Times New Roman" w:hAnsi="Times New Roman"/>
                <w:sz w:val="20"/>
              </w:rPr>
              <w:t>Bewegungsdynamik</w:t>
            </w:r>
          </w:p>
        </w:tc>
        <w:tc>
          <w:tcPr>
            <w:tcW w:type="dxa" w:w="3024"/>
          </w:tcPr>
          <w:p>
            <w:r>
              <w:rPr>
                <w:rFonts w:ascii="Times New Roman" w:hAnsi="Times New Roman"/>
                <w:sz w:val="20"/>
              </w:rPr>
              <w:t>Statisch, gerade</w:t>
            </w:r>
          </w:p>
        </w:tc>
        <w:tc>
          <w:tcPr>
            <w:tcW w:type="dxa" w:w="3024"/>
          </w:tcPr>
          <w:p>
            <w:r>
              <w:rPr>
                <w:rFonts w:ascii="Times New Roman" w:hAnsi="Times New Roman"/>
                <w:sz w:val="20"/>
              </w:rPr>
              <w:t>Dynamisch durch S-Schwung</w:t>
            </w:r>
          </w:p>
        </w:tc>
      </w:tr>
      <w:tr>
        <w:tc>
          <w:tcPr>
            <w:tcW w:type="dxa" w:w="3024"/>
          </w:tcPr>
          <w:p>
            <w:r>
              <w:rPr>
                <w:rFonts w:ascii="Times New Roman" w:hAnsi="Times New Roman"/>
                <w:sz w:val="20"/>
              </w:rPr>
              <w:t>Detailreichtum</w:t>
            </w:r>
          </w:p>
        </w:tc>
        <w:tc>
          <w:tcPr>
            <w:tcW w:type="dxa" w:w="3024"/>
          </w:tcPr>
          <w:p>
            <w:r>
              <w:rPr>
                <w:rFonts w:ascii="Times New Roman" w:hAnsi="Times New Roman"/>
                <w:sz w:val="20"/>
              </w:rPr>
              <w:t>Gering (6 Blütenblätter, kein Blatt)</w:t>
            </w:r>
          </w:p>
        </w:tc>
        <w:tc>
          <w:tcPr>
            <w:tcW w:type="dxa" w:w="3024"/>
          </w:tcPr>
          <w:p>
            <w:r>
              <w:rPr>
                <w:rFonts w:ascii="Times New Roman" w:hAnsi="Times New Roman"/>
                <w:sz w:val="20"/>
              </w:rPr>
              <w:t>Hoch (15 Blütenblätter, Blattattrappe, Patina)</w:t>
            </w:r>
          </w:p>
        </w:tc>
      </w:tr>
      <w:tr>
        <w:tc>
          <w:tcPr>
            <w:tcW w:type="dxa" w:w="3024"/>
          </w:tcPr>
          <w:p>
            <w:r>
              <w:rPr>
                <w:rFonts w:ascii="Times New Roman" w:hAnsi="Times New Roman"/>
                <w:sz w:val="20"/>
              </w:rPr>
              <w:t>Zeitgeist</w:t>
            </w:r>
          </w:p>
        </w:tc>
        <w:tc>
          <w:tcPr>
            <w:tcW w:type="dxa" w:w="3024"/>
          </w:tcPr>
          <w:p>
            <w:r>
              <w:rPr>
                <w:rFonts w:ascii="Times New Roman" w:hAnsi="Times New Roman"/>
                <w:sz w:val="20"/>
              </w:rPr>
              <w:t>Typisch 1960er (Funktionalismus)</w:t>
            </w:r>
          </w:p>
        </w:tc>
        <w:tc>
          <w:tcPr>
            <w:tcW w:type="dxa" w:w="3024"/>
          </w:tcPr>
          <w:p>
            <w:r>
              <w:rPr>
                <w:rFonts w:ascii="Times New Roman" w:hAnsi="Times New Roman"/>
                <w:sz w:val="20"/>
              </w:rPr>
              <w:t>Zeitgenössisch-romantisch</w:t>
            </w:r>
          </w:p>
        </w:tc>
      </w:tr>
      <w:tr>
        <w:tc>
          <w:tcPr>
            <w:tcW w:type="dxa" w:w="3024"/>
          </w:tcPr>
          <w:p>
            <w:r>
              <w:rPr>
                <w:rFonts w:ascii="Times New Roman" w:hAnsi="Times New Roman"/>
                <w:sz w:val="20"/>
              </w:rPr>
              <w:t>Wirkung auf den Betrachter</w:t>
            </w:r>
          </w:p>
        </w:tc>
        <w:tc>
          <w:tcPr>
            <w:tcW w:type="dxa" w:w="3024"/>
          </w:tcPr>
          <w:p>
            <w:r>
              <w:rPr>
                <w:rFonts w:ascii="Times New Roman" w:hAnsi="Times New Roman"/>
                <w:sz w:val="20"/>
              </w:rPr>
              <w:t>Schematisches Ornament</w:t>
            </w:r>
          </w:p>
        </w:tc>
        <w:tc>
          <w:tcPr>
            <w:tcW w:type="dxa" w:w="3024"/>
          </w:tcPr>
          <w:p>
            <w:r>
              <w:rPr>
                <w:rFonts w:ascii="Times New Roman" w:hAnsi="Times New Roman"/>
                <w:sz w:val="20"/>
              </w:rPr>
              <w:t>Skulpturale Naturdarstellung</w:t>
            </w:r>
          </w:p>
        </w:tc>
      </w:tr>
    </w:tbl>
    <w:p>
      <w:pPr>
        <w:pStyle w:val="Heading3"/>
      </w:pPr>
      <w:r>
        <w:rPr>
          <w:rFonts w:ascii="Times New Roman" w:hAnsi="Times New Roman"/>
        </w:rPr>
        <w:t>5.3 Gutachterliches Ergebnis</w:t>
      </w:r>
    </w:p>
    <w:p>
      <w:pPr>
        <w:jc w:val="left"/>
      </w:pPr>
      <w:r>
        <w:t>Das Leichtenstein-EU-Geschmacksmuster CD 008 412 661-0001 unterscheidet sich in seinem Gesamteindruck erheblich von dem Lefèvre-Modell 47-B. Beim informierten Benutzer rufen beide Formen klar verschiedene Eindrücke hervor. Die Neuheit und Eigenart des Leichtenstein-Geschmacksmusters wird durch den Lefèvre-Katalog 1962 nicht in Frage gestellt.</w:t>
      </w:r>
    </w:p>
    <w:p>
      <w:pPr>
        <w:jc w:val="left"/>
      </w:pPr>
      <w:r>
        <w:t>Zusätzlich ist die Zugänglichmachung des Katalogs für den maßgeblichen Fachkreis nicht nachgewiesen. Der Nichtigkeitsantrag von Bouqart auf Basis dieses Katalogs erscheint gutachterlich unbegründet.</w:t>
      </w:r>
    </w:p>
    <w:p/>
    <w:p>
      <w:pPr>
        <w:jc w:val="left"/>
      </w:pPr>
      <w:r>
        <w:rPr>
          <w:b/>
        </w:rPr>
        <w:t>Unterschrift:</w:t>
      </w:r>
      <w:r>
        <w:t xml:space="preserve"> Prof. Dr. Karola Stein-Weitmann</w:t>
      </w:r>
    </w:p>
    <w:p>
      <w:pPr>
        <w:jc w:val="left"/>
      </w:pPr>
      <w:r>
        <w:rPr>
          <w:b/>
        </w:rPr>
        <w:t>Ort, Datum:</w:t>
      </w:r>
      <w:r>
        <w:t xml:space="preserve"> Stuttgart, 18. Juli 2026</w:t>
      </w:r>
    </w:p>
    <w:p>
      <w:pPr>
        <w:jc w:val="left"/>
      </w:pPr>
      <w:r>
        <w:rPr>
          <w:b/>
        </w:rPr>
        <w:t>Hinweis:</w:t>
      </w:r>
      <w:r>
        <w:t xml:space="preserve"> Die Unterzeichnerin erklärt, keine Interessenkonflikte mit den Verfahrensbeteiligten zu haben.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Auftrag Leichtenstein Gartenkultur Manufaktur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AUFTRAG LEICHTENSTEIN GARTENKULTUR MANUFAKTUR GMBH</w:t>
    </w:r>
  </w:p>
  <w:p>
    <w:pPr>
      <w:jc w:val="left"/>
      <w:pBdr>
        <w:bottom w:val="single" w:sz="8" w:space="2" w:color="3B3F45"/>
      </w:pBdr>
    </w:pPr>
    <w:r>
      <w:rPr>
        <w:rFonts w:ascii="Times New Roman" w:hAnsi="Times New Roman"/>
        <w:color w:val="6B6B66"/>
        <w:sz w:val="16"/>
      </w:rPr>
      <w:t>Mannheim (im Auftrag Leichtenstein Gartenkultur Manufaktur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