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UWG-Abmahnung: RosenGarten24.de — Schleichwerbung und Rufausbeutung</w:t>
      </w:r>
    </w:p>
    <w:p>
      <w:pPr>
        <w:jc w:val="left"/>
      </w:pPr>
      <w:r>
        <w:rPr>
          <w:b/>
        </w:rPr>
        <w:t>Bearbeiter:</w:t>
      </w:r>
      <w:r>
        <w:t xml:space="preserve"> RA Philipp Mertens-Waldhausen</w:t>
      </w:r>
    </w:p>
    <w:p>
      <w:pPr>
        <w:jc w:val="left"/>
      </w:pPr>
      <w:r>
        <w:rPr>
          <w:b/>
        </w:rPr>
        <w:t>Datum:</w:t>
      </w:r>
      <w:r>
        <w:t xml:space="preserve"> 28. April 2026</w:t>
      </w:r>
    </w:p>
    <w:p>
      <w:pPr>
        <w:jc w:val="left"/>
      </w:pPr>
      <w:r>
        <w:rPr>
          <w:b/>
        </w:rPr>
        <w:t>Verfahren:</w:t>
      </w:r>
      <w:r>
        <w:t xml:space="preserve"> Außergerichtlich / Vorstufe OLG Karlsruhe 6 U 41/26</w:t>
      </w:r>
    </w:p>
    <w:p/>
    <w:p>
      <w:pPr>
        <w:pStyle w:val="Heading2"/>
      </w:pPr>
      <w:r>
        <w:rPr>
          <w:rFonts w:ascii="Times New Roman" w:hAnsi="Times New Roman"/>
        </w:rPr>
        <w:t>1. Sachverhalt: RosenGarten24.de und die Influencer-Posts</w:t>
      </w:r>
    </w:p>
    <w:p>
      <w:pPr>
        <w:pStyle w:val="Heading3"/>
      </w:pPr>
      <w:r>
        <w:rPr>
          <w:rFonts w:ascii="Times New Roman" w:hAnsi="Times New Roman"/>
        </w:rPr>
        <w:t>1.1 Der Betreiber</w:t>
      </w:r>
    </w:p>
    <w:p>
      <w:pPr>
        <w:jc w:val="left"/>
      </w:pPr>
      <w:r>
        <w:t>Die Plattform RosenGarten24.de wird betrieben von Maximilian Huberth-Schwager (geb. 1989), Maximilianstraße 77, 80538 München. Laut Impressum handelt es sich um ein Einzelunternehmen mit der Bezeichnung „RosenGarten24 — Gartendekorations-Vergleich und -Beratung". Umsätze werden nach eigener Angabe durch Affiliate-Provisionen und Werbepartnerschaften generiert.</w:t>
      </w:r>
    </w:p>
    <w:p>
      <w:pPr>
        <w:pStyle w:val="Heading3"/>
      </w:pPr>
      <w:r>
        <w:rPr>
          <w:rFonts w:ascii="Times New Roman" w:hAnsi="Times New Roman"/>
        </w:rPr>
        <w:t>1.2 Die beanstandeten Handlungen</w:t>
      </w:r>
    </w:p>
    <w:p>
      <w:pPr>
        <w:jc w:val="left"/>
      </w:pPr>
      <w:r>
        <w:t>Seit Februar 2026 betreibt RosenGarten24.de eine Social-Media-Kampagne auf Instagram und TikTok, in der unter dem Hashtag #RosenblueteGarten und #LeichtensteinerRose Bilder und Videos veröffentlicht werden, die:</w:t>
      </w:r>
    </w:p>
    <w:p>
      <w:pPr>
        <w:pStyle w:val="ListNumber"/>
      </w:pPr>
      <w:r>
        <w:rPr>
          <w:b/>
        </w:rPr>
        <w:t>Die Optik der Leichtenstein-Rosenbluete gezielt imitieren</w:t>
      </w:r>
      <w:r>
        <w:t xml:space="preserve"> (optisch nicht von der Originaldarstellung unterscheidbar, da Screenshots der Leichtenstein-Website und anderer Quellen verwendet werden)</w:t>
      </w:r>
    </w:p>
    <w:p>
      <w:pPr>
        <w:pStyle w:val="ListNumber"/>
      </w:pPr>
      <w:r>
        <w:rPr>
          <w:b/>
        </w:rPr>
        <w:t>Schleichwerbung für ein Konkurrenzprodukt beinhalten</w:t>
      </w:r>
      <w:r>
        <w:t xml:space="preserve"> (die Posts enthalten nicht als Werbung gekennzeichnete Empfehlungen für eine günstigere Alternative, identifiziert als das FlowerWorld-„Garden Rose Bloom"-Produkt)</w:t>
      </w:r>
    </w:p>
    <w:p>
      <w:pPr>
        <w:pStyle w:val="ListNumber"/>
      </w:pPr>
      <w:r>
        <w:rPr>
          <w:b/>
        </w:rPr>
        <w:t>Den Ruf der Marke Leichtenstein für den Vertrieb des Wettbewerbsprodukts ausbeuten</w:t>
      </w:r>
      <w:r>
        <w:t xml:space="preserve"> (Bildunterschriften wie „So schön wie Leichtenstein, aber für jeden erschwinglich!" und „Gleiche Qualität, ein Zehntel des Preises!")</w:t>
      </w:r>
    </w:p>
    <w:p>
      <w:pPr>
        <w:pStyle w:val="Heading3"/>
      </w:pPr>
      <w:r>
        <w:rPr>
          <w:rFonts w:ascii="Times New Roman" w:hAnsi="Times New Roman"/>
        </w:rPr>
        <w:t>1.3 Beweiszerung</w:t>
      </w:r>
    </w:p>
    <w:p>
      <w:pPr>
        <w:pStyle w:val="ListBullet"/>
      </w:pPr>
      <w:r>
        <w:t>Sicherungskopien von 14 Instagram-Posts (Anlage F-1 bis F-7, datiert 15. Februar bis 14. April 2026)</w:t>
      </w:r>
    </w:p>
    <w:p>
      <w:pPr>
        <w:pStyle w:val="ListBullet"/>
      </w:pPr>
      <w:r>
        <w:t>Sicherungskopien von 6 TikTok-Videos (Anlage F-8 bis F-13)</w:t>
      </w:r>
    </w:p>
    <w:p>
      <w:pPr>
        <w:pStyle w:val="ListBullet"/>
      </w:pPr>
      <w:r>
        <w:t>Notarielle Beurkundung der Social-Media-Inhalte (Notarin Dr. Brigitte Kellner-Fogt, Mannheim, 15. April 2026; Anlage F-14)</w:t>
      </w:r>
    </w:p>
    <w:p>
      <w:pPr>
        <w:pStyle w:val="ListBullet"/>
      </w:pPr>
      <w:r>
        <w:t>Ausdruck der Impressumsseite (Stand 16. April 2026; Anlage F-15)</w:t>
      </w:r>
    </w:p>
    <w:p>
      <w:pPr>
        <w:pStyle w:val="ListBullet"/>
      </w:pPr>
      <w:r>
        <w:t>Affiliate-Link-Analyse: alle Posts verweisen auf den FlowerWorld-Online-Shop mit Affiliate-Tracking-Code (Anlage F-16)</w:t>
      </w:r>
    </w:p>
    <w:p>
      <w:pPr>
        <w:pStyle w:val="Heading2"/>
      </w:pPr>
      <w:r>
        <w:rPr>
          <w:rFonts w:ascii="Times New Roman" w:hAnsi="Times New Roman"/>
        </w:rPr>
        <w:t>2. Rechtliche Würdigung</w:t>
      </w:r>
    </w:p>
    <w:p>
      <w:pPr>
        <w:pStyle w:val="Heading3"/>
      </w:pPr>
      <w:r>
        <w:rPr>
          <w:rFonts w:ascii="Times New Roman" w:hAnsi="Times New Roman"/>
        </w:rPr>
        <w:t>2.1 Unlautere Rufausbeutung (§ 4 Nr. 3 lit. b UWG)</w:t>
      </w:r>
    </w:p>
    <w:p>
      <w:pPr>
        <w:jc w:val="left"/>
      </w:pPr>
      <w:r>
        <w:t>Nach § 4 Nr. 3 lit. b UWG handelt unlauter, wer die Wertschätzung einer nachgeahmten Ware oder Dienstleistung in einer Weise ausnutzt oder beeinträchtigt, die nicht gerechtfertigt ist.</w:t>
      </w:r>
    </w:p>
    <w:p>
      <w:pPr>
        <w:jc w:val="left"/>
      </w:pPr>
      <w:r>
        <w:t>Die Beiträge von RosenGarten24.de nutzen gezielt das Renommee der Marke Leichtenstein Gartenkultur aus: Sie stellen das Leichtenstein-Produkt als Referenz dar und positionieren das FlowerWorld-Produkt als gleichwertiger Alternative. Dies ist eine klassische Form der Rufausbeutung: Der Ruf der Premiummarke wird als „Sprungbrett" genutzt, um das Konkurrenzprodukt zu vermarkten.</w:t>
      </w:r>
    </w:p>
    <w:p>
      <w:pPr>
        <w:jc w:val="left"/>
      </w:pPr>
      <w:r>
        <w:t>Die unlautere Rufausbeutung liegt vor, weil:</w:t>
      </w:r>
    </w:p>
    <w:p>
      <w:pPr>
        <w:pStyle w:val="ListBullet"/>
      </w:pPr>
      <w:r>
        <w:t>Die Wertschätzung der Leichtenstein-Rosenbluete (Preisniveau, Qualitätsimage) aktiv als Vergleichspunkt eingesetzt wird</w:t>
      </w:r>
    </w:p>
    <w:p>
      <w:pPr>
        <w:pStyle w:val="ListBullet"/>
      </w:pPr>
      <w:r>
        <w:t>Die Gleichwertigkeitsbehauptungen sachlich falsch oder zumindest irreführend sind (Gusseisen vs. Billigaluminium)</w:t>
      </w:r>
    </w:p>
    <w:p>
      <w:pPr>
        <w:pStyle w:val="ListBullet"/>
      </w:pPr>
      <w:r>
        <w:t>Keine sachliche Vergleichswerbung im Sinne von § 6 UWG vorliegt (fehlende Objektivität, werbliche Absicht des Betreibers)</w:t>
      </w:r>
    </w:p>
    <w:p>
      <w:pPr>
        <w:pStyle w:val="Heading3"/>
      </w:pPr>
      <w:r>
        <w:rPr>
          <w:rFonts w:ascii="Times New Roman" w:hAnsi="Times New Roman"/>
        </w:rPr>
        <w:t>2.2 Unlautere Schleichwerbung (§ 5a Abs. 4 UWG / Influencer-Recht)</w:t>
      </w:r>
    </w:p>
    <w:p>
      <w:pPr>
        <w:jc w:val="left"/>
      </w:pPr>
      <w:r>
        <w:t>Nach § 5a Abs. 4 UWG handelt unlauter, wer den kommerziellen Zweck einer geschäftlichen Handlung nicht kenntlich macht, sofern er für den angesprochenen Durchschnittsverbraucher nicht erkennbar ist und das Nichtkenntlichmachen geeignet ist, den Verbraucher zu einer geschäftlichen Entscheidung zu veranlassen, die er andernfalls nicht getroffen hätte.</w:t>
      </w:r>
    </w:p>
    <w:p>
      <w:pPr>
        <w:jc w:val="left"/>
      </w:pPr>
      <w:r>
        <w:t>Die Posts von RosenGarten24.de sind nicht als Werbung gekennzeichnet. Der Affiliate-Link zum FlowerWorld-Shop belegt, dass es sich um bezahlte Empfehlungen handelt. Die fehlende Kennzeichnung als Werbung verstößt gegen § 5a Abs. 4 UWG und gegen § 6 Abs. 1 Nr. 1 TMG.</w:t>
      </w:r>
    </w:p>
    <w:p>
      <w:pPr>
        <w:jc w:val="left"/>
      </w:pPr>
      <w:r>
        <w:t>BGH-Rechtsprechung zu Influencer-Werbung: Nach BGH GRUR 2021, 1400 — Influencer I und BGH GRUR 2022, 163 — Influencer II ist bei Vorliegen eines wirtschaftlichen Interesses an der Weiterempfehlung stets eine eindeutige Kennzeichnung als Werbung erforderlich. RosenGarten24.de erhält Affiliate-Provisionen — der kommerzielle Charakter der Posts ist damit gegeben.</w:t>
      </w:r>
    </w:p>
    <w:p>
      <w:pPr>
        <w:pStyle w:val="Heading3"/>
      </w:pPr>
      <w:r>
        <w:rPr>
          <w:rFonts w:ascii="Times New Roman" w:hAnsi="Times New Roman"/>
        </w:rPr>
        <w:t>2.3 Irreführende Werbung (§ 5 Abs. 1 UWG)</w:t>
      </w:r>
    </w:p>
    <w:p>
      <w:pPr>
        <w:jc w:val="left"/>
      </w:pPr>
      <w:r>
        <w:t>Die Behauptung „Gleiche Qualität, ein Zehntel des Preises!" ist sachlich falsch und damit irreführend im Sinne von § 5 Abs. 1 UWG. Das FlowerWorld-Produkt ist aus Aluminium gefertigt, während das Leichtenstein-Original aus Gusseisen besteht. Die Qualitätsmerkmale (Haltbarkeit, Gewicht, Oberflächenbehandlung, Witterungsbeständigkeit) unterscheiden sich erheblich. Die Gleichwertigkeitsbehauptung ist unzutreffend.</w:t>
      </w:r>
    </w:p>
    <w:p>
      <w:pPr>
        <w:pStyle w:val="Heading2"/>
      </w:pPr>
      <w:r>
        <w:rPr>
          <w:rFonts w:ascii="Times New Roman" w:hAnsi="Times New Roman"/>
        </w:rPr>
        <w:t>3. Inhalt der Abmahnung</w:t>
      </w:r>
    </w:p>
    <w:p>
      <w:pPr>
        <w:jc w:val="left"/>
      </w:pPr>
      <w:r>
        <w:t>Die Abmahnung wurde am 28. April 2026 per Einschreiben mit Rückschein sowie per E-Mail an die im Impressum angegebene Adresse zugestellt (Anlage G-1: Sendungsnachweis).</w:t>
      </w:r>
    </w:p>
    <w:p>
      <w:pPr>
        <w:pStyle w:val="Heading3"/>
      </w:pPr>
      <w:r>
        <w:rPr>
          <w:rFonts w:ascii="Times New Roman" w:hAnsi="Times New Roman"/>
        </w:rPr>
        <w:t>3.1 Unterlassungsforderungen</w:t>
      </w:r>
    </w:p>
    <w:p>
      <w:pPr>
        <w:jc w:val="left"/>
      </w:pPr>
      <w:r>
        <w:t>Die Abmahnung fordert Herrn Huberth-Schwager auf, es zu unterlassen:</w:t>
      </w:r>
    </w:p>
    <w:p>
      <w:pPr>
        <w:pStyle w:val="ListNumber"/>
      </w:pPr>
      <w:r>
        <w:t>Im geschäftlichen Verkehr Beiträge in sozialen Netzwerken zu veröffentlichen, die die Wertschätzung der Marke und der Produkte der Leichtenstein Gartenkultur Manufaktur GmbH zur Bewerbung von Konkurrenzprodukten ausnutzen;</w:t>
      </w:r>
    </w:p>
    <w:p>
      <w:pPr>
        <w:pStyle w:val="ListNumber"/>
      </w:pPr>
      <w:r>
        <w:t>kommerzielle Beiträge in sozialen Netzwerken zu veröffentlichen, ohne diese deutlich und eindeutig als Werbung zu kennzeichnen;</w:t>
      </w:r>
    </w:p>
    <w:p>
      <w:pPr>
        <w:pStyle w:val="ListNumber"/>
      </w:pPr>
      <w:r>
        <w:t>unwahre oder irreführende Angaben über die Qualität von Konkurrenzprodukten im Vergleich zu Produkten der Leichtenstein Gartenkultur Manufaktur GmbH zu machen.</w:t>
      </w:r>
    </w:p>
    <w:p>
      <w:pPr>
        <w:pStyle w:val="Heading3"/>
      </w:pPr>
      <w:r>
        <w:rPr>
          <w:rFonts w:ascii="Times New Roman" w:hAnsi="Times New Roman"/>
        </w:rPr>
        <w:t>3.2 Unterlassungserklärung</w:t>
      </w:r>
    </w:p>
    <w:p>
      <w:pPr>
        <w:jc w:val="left"/>
      </w:pPr>
      <w:r>
        <w:t>Beigefügt war eine vorformulierte strafbewehrte Unterlassungserklärung mit Vertragsstrafe von 5.100 EUR je Zuwiderhandlung.</w:t>
      </w:r>
    </w:p>
    <w:p>
      <w:pPr>
        <w:pStyle w:val="Heading3"/>
      </w:pPr>
      <w:r>
        <w:rPr>
          <w:rFonts w:ascii="Times New Roman" w:hAnsi="Times New Roman"/>
        </w:rPr>
        <w:t>3.3 Abmahnkosten</w:t>
      </w:r>
    </w:p>
    <w:p>
      <w:pPr>
        <w:jc w:val="left"/>
      </w:pPr>
      <w:r>
        <w:t>Erstattung der Abmahnkosten in Höhe von 1.872,44 EUR (1,3-fache Geschäftsgebühr aus Streitwert 50.000 EUR, zuzüglich MwSt.).</w:t>
      </w:r>
    </w:p>
    <w:p>
      <w:pPr>
        <w:jc w:val="left"/>
      </w:pPr>
      <w:r>
        <w:rPr>
          <w:b/>
        </w:rPr>
        <w:t>Fristsetzung:</w:t>
      </w:r>
      <w:r>
        <w:t xml:space="preserve"> 12. Mai 2026.</w:t>
      </w:r>
    </w:p>
    <w:p>
      <w:pPr>
        <w:pStyle w:val="Heading2"/>
      </w:pPr>
      <w:r>
        <w:rPr>
          <w:rFonts w:ascii="Times New Roman" w:hAnsi="Times New Roman"/>
        </w:rPr>
        <w:t>4. Reaktion Huberth-Schwager und Klageerhebung</w:t>
      </w:r>
    </w:p>
    <w:p>
      <w:pPr>
        <w:jc w:val="left"/>
      </w:pPr>
      <w:r>
        <w:t>Herr Huberth-Schwager reagierte mit Schreiben seines Rechtsanwalts RA Tobias Bergmann-Saar, München, vom 10. Mai 2026. Er verweigerte die Abgabe der Unterlassungserklärung und bestritt alle Vorwürfe. Zur Begründung verwies er auf:</w:t>
      </w:r>
    </w:p>
    <w:p>
      <w:pPr>
        <w:pStyle w:val="ListBullet"/>
      </w:pPr>
      <w:r>
        <w:t>Meinungsfreiheit (Art. 5 GG) — irrtümlich, da hier kein Meinungsbeitrag, sondern kommerzielles Handeln vorliegt</w:t>
      </w:r>
    </w:p>
    <w:p>
      <w:pPr>
        <w:pStyle w:val="ListBullet"/>
      </w:pPr>
      <w:r>
        <w:t>Produktvergleich sei zulässige vergleichende Werbung nach § 6 UWG — irrtümlich, da es an den Objektivitätskriterien des § 6 Abs. 2 UWG fehlt</w:t>
      </w:r>
    </w:p>
    <w:p>
      <w:pPr>
        <w:jc w:val="left"/>
      </w:pPr>
      <w:r>
        <w:t>Aufgrund der verweigerten Unterlassungserklärung hat die Mandantin Klage beim Landgericht München I erhoben, die in zweiter Instanz beim OLG Karlsruhe anhängig ist (Az. 6 U 41/26; vgl. Aktenstück 13).</w:t>
      </w:r>
    </w:p>
    <w:p/>
    <w:p>
      <w:pPr>
        <w:jc w:val="left"/>
      </w:pPr>
      <w:r>
        <w:rPr>
          <w:b/>
        </w:rPr>
        <w:t>Erstellt von:</w:t>
      </w:r>
      <w:r>
        <w:t xml:space="preserve"> RA Philipp Mertens-Waldhausen</w:t>
      </w:r>
    </w:p>
    <w:p>
      <w:pPr>
        <w:jc w:val="left"/>
      </w:pPr>
      <w:r>
        <w:rPr>
          <w:b/>
        </w:rPr>
        <w:t>Datum:</w:t>
      </w:r>
      <w:r>
        <w:t xml:space="preserve"> 28. April 2026 (Abmahnung) / 30. Mai 2026 (Aktenstück-Erstellung)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Verfahren: Außergerichtlich / Vorstufe OLG Karlsruhe 6 U 41/26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Verfahren: Außergerichtlich / Vorstufe OLG Karlsruhe 6 U 41/26</w:t>
    </w:r>
  </w:p>
  <w:p>
    <w:pPr>
      <w:jc w:val="left"/>
      <w:pBdr>
        <w:bottom w:val="single" w:sz="6" w:space="2" w:color="3B3F45"/>
      </w:pBdr>
    </w:pPr>
    <w:r>
      <w:rPr>
        <w:rFonts w:ascii="Times New Roman" w:hAnsi="Times New Roman"/>
        <w:color w:val="6B6B66"/>
        <w:sz w:val="16"/>
      </w:rPr>
      <w:t>Gericht · 6 U 41/26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