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16 — Domain-Streit: rosenmanufaktur.de — DENIC-Dispute-Verfahren</w:t>
      </w:r>
    </w:p>
    <w:p>
      <w:pPr>
        <w:jc w:val="left"/>
      </w:pPr>
      <w:r>
        <w:rPr>
          <w:b/>
        </w:rPr>
        <w:t>Bearbeiter:</w:t>
      </w:r>
      <w:r>
        <w:t xml:space="preserve"> RA Philipp Mertens-Waldhausen</w:t>
      </w:r>
    </w:p>
    <w:p>
      <w:pPr>
        <w:jc w:val="left"/>
      </w:pPr>
      <w:r>
        <w:rPr>
          <w:b/>
        </w:rPr>
        <w:t>Datum:</w:t>
      </w:r>
      <w:r>
        <w:t xml:space="preserve"> 08. Mai 2026</w:t>
      </w:r>
    </w:p>
    <w:p>
      <w:pPr>
        <w:jc w:val="left"/>
      </w:pPr>
      <w:r>
        <w:rPr>
          <w:b/>
        </w:rPr>
        <w:t>Verfahren:</w:t>
      </w:r>
      <w:r>
        <w:t xml:space="preserve"> DENIC Dispute-Eintrag; ggf. Klage vor LG Frankfurt/Main (DENIC-Gerichtsstand)</w:t>
      </w:r>
    </w:p>
    <w:p/>
    <w:p>
      <w:pPr>
        <w:pStyle w:val="Heading2"/>
      </w:pPr>
      <w:r>
        <w:rPr>
          <w:rFonts w:ascii="Times New Roman" w:hAnsi="Times New Roman"/>
        </w:rPr>
        <w:t>1. Sachverhalt</w:t>
      </w:r>
    </w:p>
    <w:p>
      <w:pPr>
        <w:pStyle w:val="Heading3"/>
      </w:pPr>
      <w:r>
        <w:rPr>
          <w:rFonts w:ascii="Times New Roman" w:hAnsi="Times New Roman"/>
        </w:rPr>
        <w:t>1.1 Domainregistrierung</w:t>
      </w:r>
    </w:p>
    <w:p>
      <w:pPr>
        <w:jc w:val="left"/>
      </w:pPr>
      <w:r>
        <w:t xml:space="preserve">Die Domain </w:t>
      </w:r>
      <w:r>
        <w:t>rosenmanufaktur.de</w:t>
      </w:r>
      <w:r>
        <w:t xml:space="preserve"> wurde am 14. Januar 2026 durch Herrn Benedikt Schöpflin-Harz (wohnhaft Rosenhügel 8, 77694 Kehl am Rhein) registriert. Unter dieser Domain wird seit dem 01. März 2026 ein Online-Shop betrieben, der Gartendekorationen in Rosenbluete-Optik anbietet. Nach Analyse der Produktfotos und der Produktbeschreibungen handelt es sich bei den angebotenen Waren wahrscheinlich um FlowerWorld-„Garden Rose Bloom"-Exemplare oder um ähnliche Importware aus Drittländern.</w:t>
      </w:r>
    </w:p>
    <w:p>
      <w:pPr>
        <w:pStyle w:val="Heading3"/>
      </w:pPr>
      <w:r>
        <w:rPr>
          <w:rFonts w:ascii="Times New Roman" w:hAnsi="Times New Roman"/>
        </w:rPr>
        <w:t>1.2 Kennzeichenrechtliche Analyse</w:t>
      </w:r>
    </w:p>
    <w:p>
      <w:pPr>
        <w:jc w:val="left"/>
      </w:pPr>
      <w:r>
        <w:rPr>
          <w:b/>
        </w:rPr>
        <w:t>Ältere Rechte der Mandantin:</w:t>
      </w:r>
    </w:p>
    <w:p>
      <w:pPr>
        <w:pStyle w:val="ListBullet"/>
      </w:pPr>
      <w:r>
        <w:t>Wortmarke DPMA 30 2018 044 781 „Leichtenstein Rosenbluete" — kein direkter Konflikt mit dem Domainnamen</w:t>
      </w:r>
    </w:p>
    <w:p>
      <w:pPr>
        <w:pStyle w:val="ListBullet"/>
      </w:pPr>
      <w:r>
        <w:t>Unternehmensbezeichnung „Leichtenstein Gartenkultur Manufaktur" — keine direkte Verwechslungsgefahr mit „rosenmanufaktur"</w:t>
      </w:r>
    </w:p>
    <w:p>
      <w:pPr>
        <w:pStyle w:val="ListBullet"/>
      </w:pPr>
      <w:r>
        <w:t>Firmenschlagwort „Rosenbluete" und „Rosen" — möglicherweise schwache Elemente</w:t>
      </w:r>
    </w:p>
    <w:p>
      <w:pPr>
        <w:jc w:val="left"/>
      </w:pPr>
      <w:r>
        <w:rPr>
          <w:b/>
        </w:rPr>
        <w:t>Alternative Anspruchsgrundlagen:</w:t>
      </w:r>
    </w:p>
    <w:p>
      <w:pPr>
        <w:pStyle w:val="ListBullet"/>
      </w:pPr>
      <w:r>
        <w:t>Rufausbeutung nach § 4 Nr. 3 UWG: Der Domainname „rosenmanufaktur.de" in Verbindung mit der Rosenbluete-Produktpalette nutzt gezielt die Bekanntheit des Marktsegments aus, in dem die Mandantin Marktführer ist.</w:t>
      </w:r>
    </w:p>
    <w:p>
      <w:pPr>
        <w:pStyle w:val="ListBullet"/>
      </w:pPr>
      <w:r>
        <w:t>Irreführung nach § 5 Abs. 2 UWG: Der Domainname könnte beim Verbraucher den Eindruck erwecken, er gelange auf die Website der Leichtenstein Gartenkultur Manufaktur oder eines mit ihr verbundenen Unternehmens.</w:t>
      </w:r>
    </w:p>
    <w:p>
      <w:pPr>
        <w:pStyle w:val="Heading3"/>
      </w:pPr>
      <w:r>
        <w:rPr>
          <w:rFonts w:ascii="Times New Roman" w:hAnsi="Times New Roman"/>
        </w:rPr>
        <w:t>1.3 WHOIS-Abfrage</w:t>
      </w:r>
    </w:p>
    <w:p>
      <w:pPr>
        <w:jc w:val="left"/>
      </w:pPr>
      <w:r>
        <w:t>WHOIS-Abfrage vom 25. April 2026 ergibt:</w:t>
      </w:r>
    </w:p>
    <w:p>
      <w:pPr>
        <w:pStyle w:val="ListBullet"/>
      </w:pPr>
      <w:r>
        <w:rPr>
          <w:b/>
        </w:rPr>
        <w:t>Registrant:</w:t>
      </w:r>
      <w:r>
        <w:t xml:space="preserve"> Benedikt Schöpflin-Harz, Einzelperson</w:t>
      </w:r>
    </w:p>
    <w:p>
      <w:pPr>
        <w:pStyle w:val="ListBullet"/>
      </w:pPr>
      <w:r>
        <w:rPr>
          <w:b/>
        </w:rPr>
        <w:t>Registrar:</w:t>
      </w:r>
      <w:r>
        <w:t xml:space="preserve"> IONOS SE (1&amp;1 Internet SE)</w:t>
      </w:r>
    </w:p>
    <w:p>
      <w:pPr>
        <w:pStyle w:val="ListBullet"/>
      </w:pPr>
      <w:r>
        <w:rPr>
          <w:b/>
        </w:rPr>
        <w:t>Registered:</w:t>
      </w:r>
      <w:r>
        <w:t xml:space="preserve"> 2026-01-14</w:t>
      </w:r>
    </w:p>
    <w:p>
      <w:pPr>
        <w:pStyle w:val="ListBullet"/>
      </w:pPr>
      <w:r>
        <w:rPr>
          <w:b/>
        </w:rPr>
        <w:t>Nameserver:</w:t>
      </w:r>
      <w:r>
        <w:t xml:space="preserve"> ns1.ionos.de, ns2.ionos.de</w:t>
      </w:r>
    </w:p>
    <w:p>
      <w:pPr>
        <w:pStyle w:val="ListBullet"/>
      </w:pPr>
      <w:r>
        <w:rPr>
          <w:b/>
        </w:rPr>
        <w:t>Status:</w:t>
      </w:r>
      <w:r>
        <w:t xml:space="preserve"> active</w:t>
      </w:r>
    </w:p>
    <w:p>
      <w:pPr>
        <w:jc w:val="left"/>
      </w:pPr>
      <w:r>
        <w:t>Eine Verbindung zum FlowerWorld-Konzern oder zu Bouqart Italia lässt sich aus den WHOIS-Daten nicht ableiten. Es ist jedoch möglich, dass Schöpflin-Harz als Affiliate oder Strohmann für einen der beiden größeren Akteure handelt.</w:t>
      </w:r>
    </w:p>
    <w:p>
      <w:pPr>
        <w:pStyle w:val="Heading2"/>
      </w:pPr>
      <w:r>
        <w:rPr>
          <w:rFonts w:ascii="Times New Roman" w:hAnsi="Times New Roman"/>
        </w:rPr>
        <w:t>2. DENIC-Dispute-Verfahren</w:t>
      </w:r>
    </w:p>
    <w:p>
      <w:pPr>
        <w:pStyle w:val="Heading3"/>
      </w:pPr>
      <w:r>
        <w:rPr>
          <w:rFonts w:ascii="Times New Roman" w:hAnsi="Times New Roman"/>
        </w:rPr>
        <w:t>2.1 Grundlagen des DENIC-Dispute-Eintrags</w:t>
      </w:r>
    </w:p>
    <w:p>
      <w:pPr>
        <w:jc w:val="left"/>
      </w:pPr>
      <w:r>
        <w:t>Die DENIC e.G. (Frankfurt am Main) ermöglicht durch ihre „Dispute-Richtlinie" einen vorläufigen Schutz für Inhaber älterer Rechte an einem Domainnamen. Ein Dispute-Eintrag führt dazu, dass die Domain bis zur Klärung des Rechtsstreits nicht auf einen anderen Inhaber übertragen werden kann. Der Dispute-Eintrag ist kein Löschungsverfahren; er sichert nur die Übertragungsblockade.</w:t>
      </w:r>
    </w:p>
    <w:p>
      <w:pPr>
        <w:jc w:val="left"/>
      </w:pPr>
      <w:r>
        <w:rPr>
          <w:b/>
        </w:rPr>
        <w:t>Voraussetzungen für einen Dispute-Eintrag:</w:t>
      </w:r>
    </w:p>
    <w:p>
      <w:pPr>
        <w:pStyle w:val="ListNumber"/>
      </w:pPr>
      <w:r>
        <w:t>Antragsteller muss glaubhaft machen, dass er Inhaber eines prioritätsälteren Rechts am Domainnamen ist.</w:t>
      </w:r>
    </w:p>
    <w:p>
      <w:pPr>
        <w:pStyle w:val="ListNumber"/>
      </w:pPr>
      <w:r>
        <w:t>Das prioritätsältere Recht muss schutzfähig sein.</w:t>
      </w:r>
    </w:p>
    <w:p>
      <w:pPr>
        <w:pStyle w:val="ListNumber"/>
      </w:pPr>
      <w:r>
        <w:t>Es muss zwischen dem Domainnamen und dem Recht eine Verwechslungsgefahr oder zumindest eine unberechtigte Nutzung vorliegen.</w:t>
      </w:r>
    </w:p>
    <w:p>
      <w:pPr>
        <w:pStyle w:val="Heading3"/>
      </w:pPr>
      <w:r>
        <w:rPr>
          <w:rFonts w:ascii="Times New Roman" w:hAnsi="Times New Roman"/>
        </w:rPr>
        <w:t>2.2 Antrag auf Dispute-Eintrag (30. April 2026)</w:t>
      </w:r>
    </w:p>
    <w:p>
      <w:pPr>
        <w:jc w:val="left"/>
      </w:pPr>
      <w:r>
        <w:t>Die Kanzlei hat am 30. April 2026 im Namen der Leichtenstein Gartenkultur Manufaktur GmbH einen Dispute-Antrag bei der DENIC e.G. gestellt. Zur Glaubhaftmachung wurden eingereicht:</w:t>
      </w:r>
    </w:p>
    <w:p>
      <w:pPr>
        <w:pStyle w:val="ListBullet"/>
      </w:pPr>
      <w:r>
        <w:t>Kopie der Markenurkunde DPMA 30 2018 044 781 „Leichtenstein Rosenbluete"</w:t>
      </w:r>
    </w:p>
    <w:p>
      <w:pPr>
        <w:pStyle w:val="ListBullet"/>
      </w:pPr>
      <w:r>
        <w:t>Auszug Handelsregister (HRB Mannheim 38 441) mit Firmenbezeichnung „Leichtenstein Gartenkultur Manufaktur GmbH"</w:t>
      </w:r>
    </w:p>
    <w:p>
      <w:pPr>
        <w:pStyle w:val="ListBullet"/>
      </w:pPr>
      <w:r>
        <w:t>Screenshot des Online-Shops unter rosenmanufaktur.de (Stand 25. April 2026)</w:t>
      </w:r>
    </w:p>
    <w:p>
      <w:pPr>
        <w:pStyle w:val="ListBullet"/>
      </w:pPr>
      <w:r>
        <w:t>Kurze Begründung (3 Seiten) der Verwechslungsgefahr und des Rechtsschutzinteresses</w:t>
      </w:r>
    </w:p>
    <w:p>
      <w:pPr>
        <w:pStyle w:val="Heading3"/>
      </w:pPr>
      <w:r>
        <w:rPr>
          <w:rFonts w:ascii="Times New Roman" w:hAnsi="Times New Roman"/>
        </w:rPr>
        <w:t>2.3 Reaktion der DENIC</w:t>
      </w:r>
    </w:p>
    <w:p>
      <w:pPr>
        <w:jc w:val="left"/>
      </w:pPr>
      <w:r>
        <w:t xml:space="preserve">Die DENIC hat den Dispute-Eintrag mit Bestätigung vom 06. Mai 2026 vorgenommen. Die Domain </w:t>
      </w:r>
      <w:r>
        <w:t>rosenmanufaktur.de</w:t>
      </w:r>
      <w:r>
        <w:t xml:space="preserve"> ist damit mit einem Dispute-Eintrag zugunsten der Leichtenstein Gartenkultur Manufaktur GmbH versehen. Der aktuelle Inhaber (Schöpflin-Harz) kann die Domain weiterhin nutzen, aber nicht verkaufen oder übertragen.</w:t>
      </w:r>
    </w:p>
    <w:p>
      <w:pPr>
        <w:pStyle w:val="Heading2"/>
      </w:pPr>
      <w:r>
        <w:rPr>
          <w:rFonts w:ascii="Times New Roman" w:hAnsi="Times New Roman"/>
        </w:rPr>
        <w:t>3. UDRP-Grundsätze und Vergleich zum vorliegenden Fall</w:t>
      </w:r>
    </w:p>
    <w:p>
      <w:pPr>
        <w:jc w:val="left"/>
      </w:pPr>
      <w:r>
        <w:t>Das UDRP-Verfahren (Uniform Domain-Name Dispute-Resolution Policy) der ICANN ist primär für generische Top-Level-Domains (.com, .net, .org) anwendbar. Für .de-Domains ist das DENIC-Dispute-Verfahren der primäre außergerichtliche Weg. Dennoch sind die UDRP-Grundsätze instruktiv:</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UDRP-Voraussetzung</w:t>
            </w:r>
          </w:p>
        </w:tc>
        <w:tc>
          <w:tcPr>
            <w:tcW w:type="dxa" w:w="4536"/>
          </w:tcPr>
          <w:p>
            <w:r>
              <w:rPr>
                <w:rFonts w:ascii="Times New Roman" w:hAnsi="Times New Roman"/>
                <w:b/>
                <w:sz w:val="20"/>
              </w:rPr>
              <w:t>Prüfung im vorliegenden Fall</w:t>
            </w:r>
          </w:p>
        </w:tc>
      </w:tr>
      <w:tr>
        <w:tc>
          <w:tcPr>
            <w:tcW w:type="dxa" w:w="4536"/>
          </w:tcPr>
          <w:p>
            <w:r>
              <w:rPr>
                <w:rFonts w:ascii="Times New Roman" w:hAnsi="Times New Roman"/>
                <w:sz w:val="20"/>
              </w:rPr>
              <w:t>Identität oder Ähnlichkeit mit Marke</w:t>
            </w:r>
          </w:p>
        </w:tc>
        <w:tc>
          <w:tcPr>
            <w:tcW w:type="dxa" w:w="4536"/>
          </w:tcPr>
          <w:p>
            <w:r>
              <w:rPr>
                <w:rFonts w:ascii="Times New Roman" w:hAnsi="Times New Roman"/>
                <w:sz w:val="20"/>
              </w:rPr>
              <w:t>Teilweise: „rosenmanufaktur" enthält das Element „rosen" und „manufaktur" — beide Elemente finden sich in der Firmenbezeichnung der Mandantin</w:t>
            </w:r>
          </w:p>
        </w:tc>
      </w:tr>
      <w:tr>
        <w:tc>
          <w:tcPr>
            <w:tcW w:type="dxa" w:w="4536"/>
          </w:tcPr>
          <w:p>
            <w:r>
              <w:rPr>
                <w:rFonts w:ascii="Times New Roman" w:hAnsi="Times New Roman"/>
                <w:sz w:val="20"/>
              </w:rPr>
              <w:t>Kein berechtigtes Interesse des Registranten</w:t>
            </w:r>
          </w:p>
        </w:tc>
        <w:tc>
          <w:tcPr>
            <w:tcW w:type="dxa" w:w="4536"/>
          </w:tcPr>
          <w:p>
            <w:r>
              <w:rPr>
                <w:rFonts w:ascii="Times New Roman" w:hAnsi="Times New Roman"/>
                <w:sz w:val="20"/>
              </w:rPr>
              <w:t>Offen: Schöpflin-Harz behauptet, die Domain für ein eigenes Gartendeko-Unternehmen zu nutzen; legitimes Gewerbeinteresse ist zu prüfen</w:t>
            </w:r>
          </w:p>
        </w:tc>
      </w:tr>
      <w:tr>
        <w:tc>
          <w:tcPr>
            <w:tcW w:type="dxa" w:w="4536"/>
          </w:tcPr>
          <w:p>
            <w:r>
              <w:rPr>
                <w:rFonts w:ascii="Times New Roman" w:hAnsi="Times New Roman"/>
                <w:sz w:val="20"/>
              </w:rPr>
              <w:t>Bösgläubige Registrierung</w:t>
            </w:r>
          </w:p>
        </w:tc>
        <w:tc>
          <w:tcPr>
            <w:tcW w:type="dxa" w:w="4536"/>
          </w:tcPr>
          <w:p>
            <w:r>
              <w:rPr>
                <w:rFonts w:ascii="Times New Roman" w:hAnsi="Times New Roman"/>
                <w:sz w:val="20"/>
              </w:rPr>
              <w:t>Möglich: Registrierung kurz nach Bekanntwerden der FlowerWorld-Affäre legt Trittbrettfahren nahe</w:t>
            </w:r>
          </w:p>
        </w:tc>
      </w:tr>
    </w:tbl>
    <w:p>
      <w:pPr>
        <w:pStyle w:val="Heading2"/>
      </w:pPr>
      <w:r>
        <w:rPr>
          <w:rFonts w:ascii="Times New Roman" w:hAnsi="Times New Roman"/>
        </w:rPr>
        <w:t>4. Klageoptionen</w:t>
      </w:r>
    </w:p>
    <w:p>
      <w:pPr>
        <w:jc w:val="left"/>
      </w:pPr>
      <w:r>
        <w:t>Falls der Dispute-Eintrag keine ausreichende Lösung bietet (Schöpflin-Harz nutzt die Domain weiter für den Online-Shop):</w:t>
      </w:r>
    </w:p>
    <w:p>
      <w:pPr>
        <w:pStyle w:val="Heading3"/>
      </w:pPr>
      <w:r>
        <w:rPr>
          <w:rFonts w:ascii="Times New Roman" w:hAnsi="Times New Roman"/>
        </w:rPr>
        <w:t>4.1 Unterlassungsklage nach UWG</w:t>
      </w:r>
    </w:p>
    <w:p>
      <w:pPr>
        <w:jc w:val="left"/>
      </w:pPr>
      <w:r>
        <w:t>Grundlage: §§ 3, 4 Nr. 3, 5 Abs. 2 UWG. Ziel: Unterlassung der Nutzung des Domainnamens für den Vertrieb von Gartendeko, die mit der Leichtenstein-Rosenbluete verwechselbar ist. Klage vor LG Frankfurt/Main (zuständig für DENIC-Streitigkeiten nach § 32 ZPO, da DENIC-Sitz Frankfurt).</w:t>
      </w:r>
    </w:p>
    <w:p>
      <w:pPr>
        <w:pStyle w:val="Heading3"/>
      </w:pPr>
      <w:r>
        <w:rPr>
          <w:rFonts w:ascii="Times New Roman" w:hAnsi="Times New Roman"/>
        </w:rPr>
        <w:t>4.2 Markenrechtliche Klage</w:t>
      </w:r>
    </w:p>
    <w:p>
      <w:pPr>
        <w:jc w:val="left"/>
      </w:pPr>
      <w:r>
        <w:t>Grundlage: § 14 Abs. 2 Nr. 3 MarkenG (Ausnutzung oder Beeinträchtigung der Wertschätzung bekannter Marken). Voraussetzung: Bekanntheit der Wortmarke „Leichtenstein Rosenbluete". Glaubhaftmachung der Bekanntheit erforderlich.</w:t>
      </w:r>
    </w:p>
    <w:p>
      <w:pPr>
        <w:pStyle w:val="Heading3"/>
      </w:pPr>
      <w:r>
        <w:rPr>
          <w:rFonts w:ascii="Times New Roman" w:hAnsi="Times New Roman"/>
        </w:rPr>
        <w:t>4.3 Taktische Empfehlung</w:t>
      </w:r>
    </w:p>
    <w:p>
      <w:pPr>
        <w:jc w:val="left"/>
      </w:pPr>
      <w:r>
        <w:t>Zunächst Schöpflin-Harz direkt anschreiben (Abmahnung) und Übertragung der Domain auf die Mandantin gegen eine Aufwandsentschädigung von 500 EUR anbieten. Falls keine Reaktion binnen 14 Tagen, Klage vorbereiten. Bei gegebenem wirtschaftlichem Umfang des Online-Shops (geschätzt kleiner fünfstelliger Jahresumsatz) ist ein Vergleich meist die kostengünstigere Lösung.</w:t>
      </w:r>
    </w:p>
    <w:p/>
    <w:p>
      <w:pPr>
        <w:jc w:val="left"/>
      </w:pPr>
      <w:r>
        <w:rPr>
          <w:b/>
        </w:rPr>
        <w:t>Erstellt von:</w:t>
      </w:r>
      <w:r>
        <w:t xml:space="preserve"> RA Philipp Mertens-Waldhausen</w:t>
      </w:r>
    </w:p>
    <w:p>
      <w:pPr>
        <w:jc w:val="left"/>
      </w:pPr>
      <w:r>
        <w:rPr>
          <w:b/>
        </w:rPr>
        <w:t>Datum:</w:t>
      </w:r>
      <w:r>
        <w:t xml:space="preserve"> 08. Mai 2026</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Verfahren: DENIC Dispute-Eintrag; ggf. Klage vor LG Frankfurt/Main (DENIC-Gerichtsstand)</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Verfahren: DENIC Dispute-Eintrag; ggf. Klage vor LG Frankfurt/Main (DENIC-Gerichtsstand)</w:t>
    </w:r>
  </w:p>
  <w:p>
    <w:pPr>
      <w:jc w:val="left"/>
      <w:pBdr>
        <w:bottom w:val="single" w:sz="6" w:space="2" w:color="3B3F45"/>
      </w:pBdr>
    </w:pPr>
    <w:r>
      <w:rPr>
        <w:rFonts w:ascii="Times New Roman" w:hAnsi="Times New Roman"/>
        <w:color w:val="6B6B66"/>
        <w:sz w:val="16"/>
      </w:rPr>
      <w:t>Gericht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