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 Vergleichsverhandlungen mit FlowerWorld AG</w:t>
      </w:r>
    </w:p>
    <w:p>
      <w:pPr>
        <w:jc w:val="left"/>
      </w:pPr>
      <w:r>
        <w:rPr>
          <w:b/>
        </w:rPr>
        <w:t>Bearbeiter:</w:t>
      </w:r>
      <w:r>
        <w:t xml:space="preserve"> RA Philipp Mertens-Waldhausen</w:t>
      </w:r>
    </w:p>
    <w:p>
      <w:pPr>
        <w:jc w:val="left"/>
      </w:pPr>
      <w:r>
        <w:rPr>
          <w:b/>
        </w:rPr>
        <w:t>Datum:</w:t>
      </w:r>
      <w:r>
        <w:t xml:space="preserve"> 25. Juni 2026</w:t>
      </w:r>
    </w:p>
    <w:p>
      <w:pPr>
        <w:jc w:val="left"/>
      </w:pPr>
      <w:r>
        <w:rPr>
          <w:b/>
        </w:rPr>
        <w:t>Gegenseite:</w:t>
      </w:r>
      <w:r>
        <w:t xml:space="preserve"> Rechtsanwälte Klingenberg Brauer &amp; Partner, Hamburg, RA Dr. Heinz-Werner Klingenberg</w:t>
      </w:r>
    </w:p>
    <w:p/>
    <w:p>
      <w:pPr>
        <w:pStyle w:val="Heading2"/>
      </w:pPr>
      <w:r>
        <w:rPr>
          <w:rFonts w:ascii="Times New Roman" w:hAnsi="Times New Roman"/>
        </w:rPr>
        <w:t>1. Verhandlungsinitiative</w:t>
      </w:r>
    </w:p>
    <w:p>
      <w:pPr>
        <w:jc w:val="left"/>
      </w:pPr>
      <w:r>
        <w:t>Nach dem Beschluss der einstweiligen Verfügung und dem temporären Verkaufsstopp durch FlowerWorld AG hat die Gegenseite am 12. Mai 2026 über ihre Anwälte Gesprächsbereitschaft signalisiert. Ein erstes Telefonat fand am 18. Mai 2026 statt; das erste förmliche Verhandlungsgespräch fand am 03. Juni 2026 im Büro der Kanzlei Dr. Trautmann &amp; Coll. in Mannheim statt.</w:t>
      </w:r>
    </w:p>
    <w:p>
      <w:pPr>
        <w:jc w:val="left"/>
      </w:pPr>
      <w:r>
        <w:t>Folgende Personen waren anwesend:</w:t>
      </w:r>
    </w:p>
    <w:p>
      <w:pPr>
        <w:pStyle w:val="ListBullet"/>
      </w:pPr>
      <w:r>
        <w:rPr>
          <w:b/>
        </w:rPr>
        <w:t>Klägerin:</w:t>
      </w:r>
      <w:r>
        <w:t xml:space="preserve"> Reinhilde Leichtenstein-Bauernfeind (GF), RA Mertens-Waldhausen, PA Dr. Trautmann</w:t>
      </w:r>
    </w:p>
    <w:p>
      <w:pPr>
        <w:pStyle w:val="ListBullet"/>
      </w:pPr>
      <w:r>
        <w:rPr>
          <w:b/>
        </w:rPr>
        <w:t>Beklagte:</w:t>
      </w:r>
      <w:r>
        <w:t xml:space="preserve"> Lars Dittmann-Sörensen (Vorstand FlowerWorld AG), RA Dr. Klingenberg</w:t>
      </w:r>
    </w:p>
    <w:p>
      <w:pPr>
        <w:pStyle w:val="Heading2"/>
      </w:pPr>
      <w:r>
        <w:rPr>
          <w:rFonts w:ascii="Times New Roman" w:hAnsi="Times New Roman"/>
        </w:rPr>
        <w:t>2. Ausgangspositionen</w:t>
      </w:r>
    </w:p>
    <w:p>
      <w:pPr>
        <w:pStyle w:val="Heading3"/>
      </w:pPr>
      <w:r>
        <w:rPr>
          <w:rFonts w:ascii="Times New Roman" w:hAnsi="Times New Roman"/>
        </w:rPr>
        <w:t>2.1 Position Leichtenstein Gartenkultur Manufaktur GmbH</w:t>
      </w:r>
    </w:p>
    <w:p>
      <w:pPr>
        <w:jc w:val="left"/>
      </w:pPr>
      <w:r>
        <w:rPr>
          <w:b/>
        </w:rPr>
        <w:t>Minimalforderungen:</w:t>
      </w:r>
    </w:p>
    <w:p>
      <w:pPr>
        <w:pStyle w:val="ListNumber"/>
      </w:pPr>
      <w:r>
        <w:rPr>
          <w:b/>
        </w:rPr>
        <w:t>Unterlassung dauerhaft:</w:t>
      </w:r>
      <w:r>
        <w:t xml:space="preserve"> FlowerWorld unterlässt dauerhaft das Anbieten, Inverkehrbringen und Bewerben des Produkts „Garden Rose Bloom" (EAN 4 017 600 188 372) sowie aller damit verwechselbar ähnlichen Erzeugnisse.</w:t>
      </w:r>
    </w:p>
    <w:p>
      <w:pPr>
        <w:pStyle w:val="ListNumber"/>
      </w:pPr>
      <w:r>
        <w:rPr>
          <w:b/>
        </w:rPr>
        <w:t>Rückruf und Vernichtung:</w:t>
      </w:r>
      <w:r>
        <w:t xml:space="preserve"> FlowerWorld ruft sämtliche noch im Handel befindlichen Exemplare zurück und vernichtet diese auf eigene Kosten (geschätzt noch ca. 28.000 Exemplare in Filialen und Lager, da nur ca. 7.000 im Zeitraum März–April 2026 verkauft wurden).</w:t>
      </w:r>
    </w:p>
    <w:p>
      <w:pPr>
        <w:pStyle w:val="ListNumber"/>
      </w:pPr>
      <w:r>
        <w:rPr>
          <w:b/>
        </w:rPr>
        <w:t>Auskunft:</w:t>
      </w:r>
      <w:r>
        <w:t xml:space="preserve"> Vollständige Auskunft über Herkunft, Lieferant, Einkaufsmenge, Verkaufsmenge, Einkaufs- und Verkaufspreise, Gewinn.</w:t>
      </w:r>
    </w:p>
    <w:p>
      <w:pPr>
        <w:pStyle w:val="ListNumber"/>
      </w:pPr>
      <w:r>
        <w:rPr>
          <w:b/>
        </w:rPr>
        <w:t>Schadensersatz:</w:t>
      </w:r>
      <w:r>
        <w:t xml:space="preserve"> Zahlung von Schadensersatz nach Lizenzanalogie, vorläufig beziffert auf 33.012 EUR (vgl. Aktenstück 07), endgültige Bezifferung nach Auskunft.</w:t>
      </w:r>
    </w:p>
    <w:p>
      <w:pPr>
        <w:pStyle w:val="ListNumber"/>
      </w:pPr>
      <w:r>
        <w:rPr>
          <w:b/>
        </w:rPr>
        <w:t>Vertragsstrafe:</w:t>
      </w:r>
      <w:r>
        <w:t xml:space="preserve"> Für den Fall zukünftiger Zuwiderhandlungen Vertragsstrafe von 25.000 EUR je Verstoß.</w:t>
      </w:r>
    </w:p>
    <w:p>
      <w:pPr>
        <w:pStyle w:val="ListNumber"/>
      </w:pPr>
      <w:r>
        <w:rPr>
          <w:b/>
        </w:rPr>
        <w:t>Kostenerstattung:</w:t>
      </w:r>
      <w:r>
        <w:t xml:space="preserve"> Erstattung der Abmahnkosten und Verfahrenskosten (ca. 21.000 EUR).</w:t>
      </w:r>
    </w:p>
    <w:p>
      <w:pPr>
        <w:jc w:val="left"/>
      </w:pPr>
      <w:r>
        <w:rPr>
          <w:b/>
        </w:rPr>
        <w:t>Gesamtforderung:</w:t>
      </w:r>
      <w:r>
        <w:t xml:space="preserve"> ca. 54.000 EUR Schadensersatz und Kosten + Unterlassung + Rückruf.</w:t>
      </w:r>
    </w:p>
    <w:p>
      <w:pPr>
        <w:pStyle w:val="Heading3"/>
      </w:pPr>
      <w:r>
        <w:rPr>
          <w:rFonts w:ascii="Times New Roman" w:hAnsi="Times New Roman"/>
        </w:rPr>
        <w:t>2.2 Position FlowerWorld AG</w:t>
      </w:r>
    </w:p>
    <w:p>
      <w:pPr>
        <w:jc w:val="left"/>
      </w:pPr>
      <w:r>
        <w:t>FlowerWorld räumt im Gespräch vom 03. Juni 2026 erstmals ein, dass die Ähnlichkeit zwischen den Produkten „nicht zu leugnen ist", bestreitet aber eine vorsätzliche Übernahme der Leichtenstein-Form. Vorstand Dittmann-Sörensen gibt an, der Einkauf habe das Produkt ohne Prüfung einer Markenkollision geordert.</w:t>
      </w:r>
    </w:p>
    <w:p>
      <w:pPr>
        <w:jc w:val="left"/>
      </w:pPr>
      <w:r>
        <w:t>FlowerWorld ist grundsätzlich zu einem Vergleich bereit, stellt aber folgende Bedingungen:</w:t>
      </w:r>
    </w:p>
    <w:p>
      <w:pPr>
        <w:pStyle w:val="ListBullet"/>
      </w:pPr>
      <w:r>
        <w:t>Keine „endgültige" Unterlassung, sondern nur für das konkrete Produkt mit dieser EAN</w:t>
      </w:r>
    </w:p>
    <w:p>
      <w:pPr>
        <w:pStyle w:val="ListBullet"/>
      </w:pPr>
      <w:r>
        <w:t>Kein Rückruf (zu teuer, logistisch nicht umsetzbar innerhalb kurzer Zeit) — stattdessen Auslistung aus dem Online-Shop und Ende der Ladenlieferung</w:t>
      </w:r>
    </w:p>
    <w:p>
      <w:pPr>
        <w:pStyle w:val="ListBullet"/>
      </w:pPr>
      <w:r>
        <w:t>Schadensersatz maximal 15.000 EUR (Pauschalentschädigung)</w:t>
      </w:r>
    </w:p>
    <w:p>
      <w:pPr>
        <w:pStyle w:val="ListBullet"/>
      </w:pPr>
      <w:r>
        <w:t>Keine Auskunftspflicht (FlowerWorld verweist auf Geschäftsgeheimnis)</w:t>
      </w:r>
    </w:p>
    <w:p>
      <w:pPr>
        <w:pStyle w:val="Heading2"/>
      </w:pPr>
      <w:r>
        <w:rPr>
          <w:rFonts w:ascii="Times New Roman" w:hAnsi="Times New Roman"/>
        </w:rPr>
        <w:t>3. Zweites Verhandlungsgespräch (22. Juni 2026)</w:t>
      </w:r>
    </w:p>
    <w:p>
      <w:pPr>
        <w:jc w:val="left"/>
      </w:pPr>
      <w:r>
        <w:t>Beim zweiten Gespräch (Büro RA Klingenberg, Hamburg) zeichnete sich folgendes Ergebnis ab:</w:t>
      </w:r>
    </w:p>
    <w:p>
      <w:pPr>
        <w:pStyle w:val="Heading3"/>
      </w:pPr>
      <w:r>
        <w:rPr>
          <w:rFonts w:ascii="Times New Roman" w:hAnsi="Times New Roman"/>
        </w:rPr>
        <w:t>3.1 Unterlassung</w:t>
      </w:r>
    </w:p>
    <w:p>
      <w:pPr>
        <w:jc w:val="left"/>
      </w:pPr>
      <w:r>
        <w:t>Einigung auf umfassende Unterlassung: nicht nur das konkrete Produkt, sondern alle Erzeugnisse, die in den wesentlichen Formmerkmalen mit der EU-3D-Marke 018 977 412 übereinstimmen. FlowerWorld gibt eine vorformulierte strafbewehrte Unterlassungserklärung ab.</w:t>
      </w:r>
    </w:p>
    <w:p>
      <w:pPr>
        <w:pStyle w:val="Heading3"/>
      </w:pPr>
      <w:r>
        <w:rPr>
          <w:rFonts w:ascii="Times New Roman" w:hAnsi="Times New Roman"/>
        </w:rPr>
        <w:t>3.2 Rückruf</w:t>
      </w:r>
    </w:p>
    <w:p>
      <w:pPr>
        <w:jc w:val="left"/>
      </w:pPr>
      <w:r>
        <w:t>Kompromiss: FlowerWorld verkauft den Restbestand in den Filialen nicht mehr aktiv (kein Nachfüllen der Regale, Entfernung aus Displays); bereits ausgelieferte Ware wird nicht zurückgerufen, da Käufer Privatpersonen sind. Lagerbestand (noch ca. 18.000 Stück) wird vernichtet. Vernichtungsnachweis durch Zertifikat eines beauftragten Recyclingbetriebs.</w:t>
      </w:r>
    </w:p>
    <w:p>
      <w:pPr>
        <w:pStyle w:val="Heading3"/>
      </w:pPr>
      <w:r>
        <w:rPr>
          <w:rFonts w:ascii="Times New Roman" w:hAnsi="Times New Roman"/>
        </w:rPr>
        <w:t>3.3 Auskunft</w:t>
      </w:r>
    </w:p>
    <w:p>
      <w:pPr>
        <w:jc w:val="left"/>
      </w:pPr>
      <w:r>
        <w:t>FlowerWorld erteilt Auskunft über Gesamteinkaufsmenge und Gesamtverkaufsmenge sowie Lieferant (Shenzhen Gardencraft Metal Co., Ltd., bestätigt). Weitere Einzelheiten werden als Geschäftsgeheimnis eingestuft und nur unter Mitwirkung eines neutralen Wirtschaftsprüfers offengelegt.</w:t>
      </w:r>
    </w:p>
    <w:p>
      <w:pPr>
        <w:pStyle w:val="Heading3"/>
      </w:pPr>
      <w:r>
        <w:rPr>
          <w:rFonts w:ascii="Times New Roman" w:hAnsi="Times New Roman"/>
        </w:rPr>
        <w:t>3.4 Schadensersatz</w:t>
      </w:r>
    </w:p>
    <w:p>
      <w:pPr>
        <w:jc w:val="left"/>
      </w:pPr>
      <w:r>
        <w:t>Einigung auf 28.000 EUR Pauschalabgeltung, die alle Ansprüche (Lizenzanalogie, Imageschaden, Kostenerstattung) abdeckt. Ratenzahlung: 14.000 EUR zum 01. August 2026, 14.000 EUR zum 01. November 2026.</w:t>
      </w:r>
    </w:p>
    <w:p>
      <w:pPr>
        <w:pStyle w:val="Heading2"/>
      </w:pPr>
      <w:r>
        <w:rPr>
          <w:rFonts w:ascii="Times New Roman" w:hAnsi="Times New Roman"/>
        </w:rPr>
        <w:t>4. Entwurf des Vergleichsvertrags (Stand 25. Juni 2026)</w:t>
      </w:r>
    </w:p>
    <w:p>
      <w:pPr>
        <w:jc w:val="left"/>
      </w:pPr>
      <w:r>
        <w:t>Der Vergleichsvertrag ist noch im Entwurfsstadium (Letzte Fassung vom 24. Juni 2026, als Anlage N-1 in der Akte). Wesentliche Regelungen: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Regelung</w:t>
            </w:r>
          </w:p>
        </w:tc>
      </w:tr>
      <w:tr>
        <w:tc>
          <w:tcPr>
            <w:tcW w:type="dxa" w:w="4536"/>
          </w:tcPr>
          <w:p>
            <w:r>
              <w:rPr>
                <w:rFonts w:ascii="Times New Roman" w:hAnsi="Times New Roman"/>
                <w:sz w:val="20"/>
              </w:rPr>
              <w:t>Unterlassung</w:t>
            </w:r>
          </w:p>
        </w:tc>
        <w:tc>
          <w:tcPr>
            <w:tcW w:type="dxa" w:w="4536"/>
          </w:tcPr>
          <w:p>
            <w:r>
              <w:rPr>
                <w:rFonts w:ascii="Times New Roman" w:hAnsi="Times New Roman"/>
                <w:sz w:val="20"/>
              </w:rPr>
              <w:t>Umfassend, strafbewehrt 25.000 EUR/Verstoß</w:t>
            </w:r>
          </w:p>
        </w:tc>
      </w:tr>
      <w:tr>
        <w:tc>
          <w:tcPr>
            <w:tcW w:type="dxa" w:w="4536"/>
          </w:tcPr>
          <w:p>
            <w:r>
              <w:rPr>
                <w:rFonts w:ascii="Times New Roman" w:hAnsi="Times New Roman"/>
                <w:sz w:val="20"/>
              </w:rPr>
              <w:t>Lagerbestand</w:t>
            </w:r>
          </w:p>
        </w:tc>
        <w:tc>
          <w:tcPr>
            <w:tcW w:type="dxa" w:w="4536"/>
          </w:tcPr>
          <w:p>
            <w:r>
              <w:rPr>
                <w:rFonts w:ascii="Times New Roman" w:hAnsi="Times New Roman"/>
                <w:sz w:val="20"/>
              </w:rPr>
              <w:t>Vernichtung bis 01. September 2026, Nachweis durch Recyclingzertifikat</w:t>
            </w:r>
          </w:p>
        </w:tc>
      </w:tr>
      <w:tr>
        <w:tc>
          <w:tcPr>
            <w:tcW w:type="dxa" w:w="4536"/>
          </w:tcPr>
          <w:p>
            <w:r>
              <w:rPr>
                <w:rFonts w:ascii="Times New Roman" w:hAnsi="Times New Roman"/>
                <w:sz w:val="20"/>
              </w:rPr>
              <w:t>Auskunft</w:t>
            </w:r>
          </w:p>
        </w:tc>
        <w:tc>
          <w:tcPr>
            <w:tcW w:type="dxa" w:w="4536"/>
          </w:tcPr>
          <w:p>
            <w:r>
              <w:rPr>
                <w:rFonts w:ascii="Times New Roman" w:hAnsi="Times New Roman"/>
                <w:sz w:val="20"/>
              </w:rPr>
              <w:t>Gesamtzahlen bis 15. August 2026</w:t>
            </w:r>
          </w:p>
        </w:tc>
      </w:tr>
      <w:tr>
        <w:tc>
          <w:tcPr>
            <w:tcW w:type="dxa" w:w="4536"/>
          </w:tcPr>
          <w:p>
            <w:r>
              <w:rPr>
                <w:rFonts w:ascii="Times New Roman" w:hAnsi="Times New Roman"/>
                <w:sz w:val="20"/>
              </w:rPr>
              <w:t>Schadensersatz</w:t>
            </w:r>
          </w:p>
        </w:tc>
        <w:tc>
          <w:tcPr>
            <w:tcW w:type="dxa" w:w="4536"/>
          </w:tcPr>
          <w:p>
            <w:r>
              <w:rPr>
                <w:rFonts w:ascii="Times New Roman" w:hAnsi="Times New Roman"/>
                <w:sz w:val="20"/>
              </w:rPr>
              <w:t>28.000 EUR in zwei Raten</w:t>
            </w:r>
          </w:p>
        </w:tc>
      </w:tr>
      <w:tr>
        <w:tc>
          <w:tcPr>
            <w:tcW w:type="dxa" w:w="4536"/>
          </w:tcPr>
          <w:p>
            <w:r>
              <w:rPr>
                <w:rFonts w:ascii="Times New Roman" w:hAnsi="Times New Roman"/>
                <w:sz w:val="20"/>
              </w:rPr>
              <w:t>Nichtigkeitsantrag</w:t>
            </w:r>
          </w:p>
        </w:tc>
        <w:tc>
          <w:tcPr>
            <w:tcW w:type="dxa" w:w="4536"/>
          </w:tcPr>
          <w:p>
            <w:r>
              <w:rPr>
                <w:rFonts w:ascii="Times New Roman" w:hAnsi="Times New Roman"/>
                <w:sz w:val="20"/>
              </w:rPr>
              <w:t>FlowerWorld unterstützt den Nichtigkeitsantrag von Bouqart nicht (Neutralitätsklausel)</w:t>
            </w:r>
          </w:p>
        </w:tc>
      </w:tr>
      <w:tr>
        <w:tc>
          <w:tcPr>
            <w:tcW w:type="dxa" w:w="4536"/>
          </w:tcPr>
          <w:p>
            <w:r>
              <w:rPr>
                <w:rFonts w:ascii="Times New Roman" w:hAnsi="Times New Roman"/>
                <w:sz w:val="20"/>
              </w:rPr>
              <w:t>Gerichtliche Verfahren</w:t>
            </w:r>
          </w:p>
        </w:tc>
        <w:tc>
          <w:tcPr>
            <w:tcW w:type="dxa" w:w="4536"/>
          </w:tcPr>
          <w:p>
            <w:r>
              <w:rPr>
                <w:rFonts w:ascii="Times New Roman" w:hAnsi="Times New Roman"/>
                <w:sz w:val="20"/>
              </w:rPr>
              <w:t>Werden nach Unterzeichnung des Vergleichs für erledigt erklärt; LG Mannheim 7 O 88/26 endet mit Beschluss nach § 91a ZPO</w:t>
            </w:r>
          </w:p>
        </w:tc>
      </w:tr>
      <w:tr>
        <w:tc>
          <w:tcPr>
            <w:tcW w:type="dxa" w:w="4536"/>
          </w:tcPr>
          <w:p>
            <w:r>
              <w:rPr>
                <w:rFonts w:ascii="Times New Roman" w:hAnsi="Times New Roman"/>
                <w:sz w:val="20"/>
              </w:rPr>
              <w:t>Vertraulichkeit</w:t>
            </w:r>
          </w:p>
        </w:tc>
        <w:tc>
          <w:tcPr>
            <w:tcW w:type="dxa" w:w="4536"/>
          </w:tcPr>
          <w:p>
            <w:r>
              <w:rPr>
                <w:rFonts w:ascii="Times New Roman" w:hAnsi="Times New Roman"/>
                <w:sz w:val="20"/>
              </w:rPr>
              <w:t>Beide Parteien behandeln die Vergleichsbedingungen vertraulich</w:t>
            </w:r>
          </w:p>
        </w:tc>
      </w:tr>
    </w:tbl>
    <w:p>
      <w:pPr>
        <w:pStyle w:val="Heading2"/>
      </w:pPr>
      <w:r>
        <w:rPr>
          <w:rFonts w:ascii="Times New Roman" w:hAnsi="Times New Roman"/>
        </w:rPr>
        <w:t>5. Empfehlung und Votum der Mandantin</w:t>
      </w:r>
    </w:p>
    <w:p>
      <w:pPr>
        <w:jc w:val="left"/>
      </w:pPr>
      <w:r>
        <w:rPr>
          <w:b/>
        </w:rPr>
        <w:t>Empfehlung der Kanzlei:</w:t>
      </w:r>
      <w:r>
        <w:t xml:space="preserve"> Der Vergleich ist für die Mandantin vorteilhaft. Die Einigung sichert:</w:t>
      </w:r>
    </w:p>
    <w:p>
      <w:pPr>
        <w:pStyle w:val="ListBullet"/>
      </w:pPr>
      <w:r>
        <w:t>Dauerhaftes Unterlassen durch FlowerWorld</w:t>
      </w:r>
    </w:p>
    <w:p>
      <w:pPr>
        <w:pStyle w:val="ListBullet"/>
      </w:pPr>
      <w:r>
        <w:t>Vernichtung des Lagerbestands (ca. 18.000 Stück werden dauerhaft aus dem Markt genommen)</w:t>
      </w:r>
    </w:p>
    <w:p>
      <w:pPr>
        <w:pStyle w:val="ListBullet"/>
      </w:pPr>
      <w:r>
        <w:t>Zahlung von 28.000 EUR (entspricht der Lizenzanalogie plus Kostenerstattung)</w:t>
      </w:r>
    </w:p>
    <w:p>
      <w:pPr>
        <w:pStyle w:val="ListBullet"/>
      </w:pPr>
      <w:r>
        <w:t>Rasche Verfahrensbeendigung</w:t>
      </w:r>
    </w:p>
    <w:p>
      <w:pPr>
        <w:jc w:val="left"/>
      </w:pPr>
      <w:r>
        <w:t>Risiken einer gerichtlichen Entscheidung (Ungewissheit bezüglich EUIPO-Ausgang, Kosten weiterer Gutachten, Zeitaufwand) überwiegen den marginalen Vorteil einer potenziell höheren Schadensersatzsumme.</w:t>
      </w:r>
    </w:p>
    <w:p>
      <w:pPr>
        <w:jc w:val="left"/>
      </w:pPr>
      <w:r>
        <w:rPr>
          <w:b/>
        </w:rPr>
        <w:t>Votum Mandantin (Besprechung 24. Juni 2026):</w:t>
      </w:r>
      <w:r>
        <w:t xml:space="preserve"> Reinhilde Leichtenstein-Bauernfeind stimmt dem Vergleich vorbehaltlich der Endabstimmung eines letzten Entwurfs zu. Unterzeichnungstermin: 10. Juli 2026.</w:t>
      </w:r>
    </w:p>
    <w:p/>
    <w:p>
      <w:pPr>
        <w:jc w:val="left"/>
      </w:pPr>
      <w:r>
        <w:rPr>
          <w:b/>
        </w:rPr>
        <w:t>Erstellt von:</w:t>
      </w:r>
      <w:r>
        <w:t xml:space="preserve"> RA Philipp Mertens-Waldhausen</w:t>
      </w:r>
    </w:p>
    <w:p>
      <w:pPr>
        <w:jc w:val="left"/>
      </w:pPr>
      <w:r>
        <w:rPr>
          <w:b/>
        </w:rPr>
        <w:t>Datum:</w:t>
      </w:r>
      <w:r>
        <w:t xml:space="preserve"> 25. Juni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FlowerWorld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FlowerWorld AG</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